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4C80" w14:textId="47507BDE" w:rsidR="00C73A61" w:rsidRPr="001E34A7" w:rsidRDefault="00DD1C40" w:rsidP="00C73A61">
      <w:pPr>
        <w:rPr>
          <w:rFonts w:ascii="Verdana" w:hAnsi="Verdana"/>
          <w:b/>
          <w:sz w:val="32"/>
        </w:rPr>
      </w:pPr>
      <w:r>
        <w:rPr>
          <w:rFonts w:ascii="Verdana" w:hAnsi="Verdana"/>
          <w:b/>
          <w:sz w:val="32"/>
        </w:rPr>
        <w:t xml:space="preserve">Analysenotat. </w:t>
      </w:r>
      <w:r w:rsidR="00C73A61">
        <w:rPr>
          <w:rFonts w:ascii="Verdana" w:hAnsi="Verdana"/>
          <w:b/>
          <w:sz w:val="32"/>
        </w:rPr>
        <w:t>E</w:t>
      </w:r>
      <w:r w:rsidR="00C73A61" w:rsidRPr="001E34A7">
        <w:rPr>
          <w:rFonts w:ascii="Verdana" w:hAnsi="Verdana"/>
          <w:b/>
          <w:sz w:val="32"/>
        </w:rPr>
        <w:t xml:space="preserve">ffekter af offentlige </w:t>
      </w:r>
      <w:r w:rsidR="00C73A61">
        <w:rPr>
          <w:rFonts w:ascii="Verdana" w:hAnsi="Verdana"/>
          <w:b/>
          <w:sz w:val="32"/>
        </w:rPr>
        <w:t>udgifter til</w:t>
      </w:r>
      <w:r w:rsidR="00C73A61" w:rsidRPr="001E34A7">
        <w:rPr>
          <w:rFonts w:ascii="Verdana" w:hAnsi="Verdana"/>
          <w:b/>
          <w:sz w:val="32"/>
        </w:rPr>
        <w:t xml:space="preserve"> uddannelse </w:t>
      </w:r>
    </w:p>
    <w:p w14:paraId="620EB725" w14:textId="77777777" w:rsidR="00C73A61" w:rsidRDefault="00C73A61" w:rsidP="00C73A61">
      <w:pPr>
        <w:pStyle w:val="NoSpacing"/>
        <w:rPr>
          <w:rFonts w:ascii="Verdana" w:hAnsi="Verdana"/>
          <w:i/>
        </w:rPr>
      </w:pPr>
      <w:r>
        <w:rPr>
          <w:rFonts w:ascii="Verdana" w:hAnsi="Verdana"/>
          <w:i/>
        </w:rPr>
        <w:t xml:space="preserve">Dette notat gennemgår en metode til at regne på dynamiske effekter af offentlige udgifter til uddannelse i Danmark. </w:t>
      </w:r>
    </w:p>
    <w:p w14:paraId="6994EEF7" w14:textId="6BA7099B" w:rsidR="00C73A61" w:rsidRDefault="00C73A61" w:rsidP="00C73A61">
      <w:pPr>
        <w:pStyle w:val="NoSpacing"/>
        <w:rPr>
          <w:rFonts w:ascii="Verdana" w:hAnsi="Verdana"/>
          <w:i/>
        </w:rPr>
      </w:pPr>
      <w:r>
        <w:rPr>
          <w:rFonts w:ascii="Verdana" w:hAnsi="Verdana"/>
          <w:i/>
        </w:rPr>
        <w:t>Formålet med notatet er at danne udgangspunkt for en følsomhedsanalyse, hvor de potentielle konsekvenser det kan have, hvis man undlader at forholde sig til de positive effekter, som forskellige typer af offentligt forbrug har, belyses. Beregningen er tilrettelagt så det fremkomne effektestimat er konservativt. Dette skyldes, blandt andet, at der alene fokuseres på én mulig positiv effektkanal af offentlige udgifter til uddannelse, nemlig produktivitetskanalen, jf. beskrivelsen i Bilag 1.</w:t>
      </w:r>
      <w:r w:rsidR="007B3240" w:rsidRPr="007B3240">
        <w:rPr>
          <w:rFonts w:ascii="Verdana" w:hAnsi="Verdana"/>
          <w:i/>
        </w:rPr>
        <w:t xml:space="preserve"> </w:t>
      </w:r>
      <w:r w:rsidR="007B3240">
        <w:rPr>
          <w:rFonts w:ascii="Verdana" w:hAnsi="Verdana"/>
          <w:i/>
        </w:rPr>
        <w:t>Metoden bygger på en række stilistiske antagelser og er som sådan forbundet med usikkerhed. Derfor skal nærværende notat ikke ses som et færdigt bud på effekten af offentlige udgifter til uddannelse</w:t>
      </w:r>
      <w:r w:rsidR="00F40E2F">
        <w:rPr>
          <w:rFonts w:ascii="Verdana" w:hAnsi="Verdana"/>
          <w:i/>
        </w:rPr>
        <w:t>,</w:t>
      </w:r>
      <w:r w:rsidR="007B3240">
        <w:rPr>
          <w:rFonts w:ascii="Verdana" w:hAnsi="Verdana"/>
          <w:i/>
        </w:rPr>
        <w:t xml:space="preserve"> men snarere som et metodisk indspark i debatten om at regne på dynamiske effekter af offentlige udgifter i forbindelse med makroøkonomiske fremskrivninger i Danmark.</w:t>
      </w:r>
    </w:p>
    <w:p w14:paraId="11A0627C" w14:textId="77777777" w:rsidR="00C73A61" w:rsidRDefault="00C73A61" w:rsidP="00C73A61">
      <w:pPr>
        <w:pStyle w:val="NoSpacing"/>
        <w:rPr>
          <w:rFonts w:ascii="Verdana" w:hAnsi="Verdana"/>
          <w:i/>
        </w:rPr>
      </w:pPr>
    </w:p>
    <w:p w14:paraId="50EEDFF9" w14:textId="700C9FC2" w:rsidR="00C73A61" w:rsidRDefault="00531B92" w:rsidP="00C73A61">
      <w:pPr>
        <w:pStyle w:val="NoSpacing"/>
        <w:rPr>
          <w:rFonts w:ascii="Verdana" w:hAnsi="Verdana"/>
          <w:i/>
        </w:rPr>
      </w:pPr>
      <w:r>
        <w:rPr>
          <w:rFonts w:ascii="Verdana" w:hAnsi="Verdana"/>
          <w:i/>
        </w:rPr>
        <w:t xml:space="preserve">Notat starter med en sammenfatning af analysen. </w:t>
      </w:r>
      <w:r w:rsidR="00DD1C40">
        <w:rPr>
          <w:rFonts w:ascii="Verdana" w:hAnsi="Verdana"/>
          <w:i/>
        </w:rPr>
        <w:t>Notatet</w:t>
      </w:r>
      <w:r w:rsidR="00C73A61">
        <w:rPr>
          <w:rFonts w:ascii="Verdana" w:hAnsi="Verdana"/>
          <w:i/>
        </w:rPr>
        <w:t xml:space="preserve"> beskrive</w:t>
      </w:r>
      <w:r w:rsidR="00DD1C40">
        <w:rPr>
          <w:rFonts w:ascii="Verdana" w:hAnsi="Verdana"/>
          <w:i/>
        </w:rPr>
        <w:t>r</w:t>
      </w:r>
      <w:r>
        <w:rPr>
          <w:rFonts w:ascii="Verdana" w:hAnsi="Verdana"/>
          <w:i/>
        </w:rPr>
        <w:t xml:space="preserve"> dernæst</w:t>
      </w:r>
      <w:r w:rsidR="00C73A61">
        <w:rPr>
          <w:rFonts w:ascii="Verdana" w:hAnsi="Verdana"/>
          <w:i/>
        </w:rPr>
        <w:t xml:space="preserve"> omfanget og indretningen af</w:t>
      </w:r>
      <w:r w:rsidR="00A22772">
        <w:rPr>
          <w:rFonts w:ascii="Verdana" w:hAnsi="Verdana"/>
          <w:i/>
        </w:rPr>
        <w:t xml:space="preserve"> de offentlige udgifter til</w:t>
      </w:r>
      <w:r w:rsidR="00C73A61">
        <w:rPr>
          <w:rFonts w:ascii="Verdana" w:hAnsi="Verdana"/>
          <w:i/>
        </w:rPr>
        <w:t xml:space="preserve"> uddannelsessystemet i Danmark. Dernæst præsenteres en række relevante forskningsresultater, som kan danne udgangspunkt for beregninger af </w:t>
      </w:r>
      <w:r w:rsidR="00F40E2F">
        <w:rPr>
          <w:rFonts w:ascii="Verdana" w:hAnsi="Verdana"/>
          <w:i/>
        </w:rPr>
        <w:t xml:space="preserve">de </w:t>
      </w:r>
      <w:r w:rsidR="00C73A61">
        <w:rPr>
          <w:rFonts w:ascii="Verdana" w:hAnsi="Verdana"/>
          <w:i/>
        </w:rPr>
        <w:t xml:space="preserve">dynamiske effekter. Herefter præsenteres en konkret tilgang og metodeovervejelser for to forskellige politikeksperimenter. </w:t>
      </w:r>
      <w:r w:rsidR="00A22772">
        <w:rPr>
          <w:rFonts w:ascii="Verdana" w:hAnsi="Verdana"/>
          <w:i/>
        </w:rPr>
        <w:t>Endelig</w:t>
      </w:r>
      <w:r w:rsidR="00C73A61">
        <w:rPr>
          <w:rFonts w:ascii="Verdana" w:hAnsi="Verdana"/>
          <w:i/>
        </w:rPr>
        <w:t xml:space="preserve"> foretages en </w:t>
      </w:r>
      <w:r w:rsidR="00FE5CBB">
        <w:rPr>
          <w:rFonts w:ascii="Verdana" w:hAnsi="Verdana"/>
          <w:i/>
        </w:rPr>
        <w:t>samlet opregning af effekten på</w:t>
      </w:r>
      <w:r w:rsidR="00C73A61">
        <w:rPr>
          <w:rFonts w:ascii="Verdana" w:hAnsi="Verdana"/>
          <w:i/>
        </w:rPr>
        <w:t xml:space="preserve"> </w:t>
      </w:r>
      <w:r w:rsidR="00DD1C40">
        <w:rPr>
          <w:rFonts w:ascii="Verdana" w:hAnsi="Verdana"/>
          <w:i/>
        </w:rPr>
        <w:t xml:space="preserve">den samfundsøkonomiske </w:t>
      </w:r>
      <w:r w:rsidR="00C73A61">
        <w:rPr>
          <w:rFonts w:ascii="Verdana" w:hAnsi="Verdana"/>
          <w:i/>
        </w:rPr>
        <w:t>produktivitet af de to forskellige analysemetoder</w:t>
      </w:r>
      <w:r w:rsidR="00CA1817">
        <w:rPr>
          <w:rFonts w:ascii="Verdana" w:hAnsi="Verdana"/>
          <w:i/>
        </w:rPr>
        <w:t xml:space="preserve"> med fokus på henholdsvis kvaliteten og kvantiteten af uddannelse.</w:t>
      </w:r>
    </w:p>
    <w:p w14:paraId="3F67FBAE" w14:textId="72D0C53A" w:rsidR="00531B92" w:rsidRDefault="00531B92">
      <w:pPr>
        <w:spacing w:after="0" w:line="240" w:lineRule="auto"/>
        <w:rPr>
          <w:rFonts w:ascii="Verdana" w:hAnsi="Verdana"/>
          <w:i/>
        </w:rPr>
      </w:pPr>
      <w:r>
        <w:rPr>
          <w:rFonts w:ascii="Verdana" w:hAnsi="Verdana"/>
          <w:i/>
        </w:rPr>
        <w:br w:type="page"/>
      </w:r>
    </w:p>
    <w:p w14:paraId="6A10A667" w14:textId="77777777" w:rsidR="00531B92" w:rsidRDefault="00531B92" w:rsidP="00531B92">
      <w:pPr>
        <w:spacing w:after="0" w:line="240" w:lineRule="auto"/>
        <w:rPr>
          <w:rFonts w:ascii="Verdana" w:hAnsi="Verdana"/>
          <w:b/>
          <w:sz w:val="32"/>
        </w:rPr>
      </w:pPr>
      <w:r>
        <w:rPr>
          <w:rFonts w:ascii="Verdana" w:hAnsi="Verdana"/>
          <w:b/>
          <w:sz w:val="32"/>
        </w:rPr>
        <w:lastRenderedPageBreak/>
        <w:t>Sammenfatning.</w:t>
      </w:r>
    </w:p>
    <w:p w14:paraId="1BCCA86B" w14:textId="77777777" w:rsidR="00531B92" w:rsidRDefault="00531B92" w:rsidP="00531B92">
      <w:pPr>
        <w:spacing w:after="0" w:line="240" w:lineRule="auto"/>
        <w:rPr>
          <w:rFonts w:ascii="Verdana" w:hAnsi="Verdana"/>
        </w:rPr>
      </w:pPr>
    </w:p>
    <w:p w14:paraId="1565D309" w14:textId="77777777" w:rsidR="00531B92" w:rsidRDefault="00531B92" w:rsidP="00531B92">
      <w:pPr>
        <w:spacing w:after="0" w:line="240" w:lineRule="auto"/>
        <w:rPr>
          <w:rFonts w:ascii="Verdana" w:hAnsi="Verdana"/>
        </w:rPr>
      </w:pPr>
      <w:r>
        <w:rPr>
          <w:rFonts w:ascii="Verdana" w:hAnsi="Verdana"/>
        </w:rPr>
        <w:t xml:space="preserve">Denne analyse viser, at det samfundsøkonomisk kan betale sig at investere i uddannelse. </w:t>
      </w:r>
    </w:p>
    <w:p w14:paraId="7E5DC2A7" w14:textId="77777777" w:rsidR="00531B92" w:rsidRDefault="00531B92" w:rsidP="00531B92">
      <w:pPr>
        <w:spacing w:after="0" w:line="240" w:lineRule="auto"/>
        <w:rPr>
          <w:rFonts w:ascii="Verdana" w:hAnsi="Verdana"/>
        </w:rPr>
      </w:pPr>
    </w:p>
    <w:p w14:paraId="6E017E52" w14:textId="77777777" w:rsidR="00531B92" w:rsidRDefault="00531B92" w:rsidP="00531B92">
      <w:pPr>
        <w:spacing w:after="0" w:line="240" w:lineRule="auto"/>
        <w:rPr>
          <w:rFonts w:ascii="Verdana" w:hAnsi="Verdana"/>
        </w:rPr>
      </w:pPr>
      <w:r>
        <w:rPr>
          <w:rFonts w:ascii="Verdana" w:hAnsi="Verdana"/>
        </w:rPr>
        <w:t xml:space="preserve">Analysen undersøger dels produktivitetseffekterne ved at bruge penge på flere lærere i folkeskolen for på den måde at sænke klassekvotienten. </w:t>
      </w:r>
    </w:p>
    <w:p w14:paraId="4A580128" w14:textId="77777777" w:rsidR="00531B92" w:rsidRDefault="00531B92" w:rsidP="00531B92">
      <w:pPr>
        <w:spacing w:after="0" w:line="240" w:lineRule="auto"/>
        <w:rPr>
          <w:rFonts w:ascii="Verdana" w:hAnsi="Verdana"/>
        </w:rPr>
      </w:pPr>
    </w:p>
    <w:p w14:paraId="2D312EA1" w14:textId="77777777" w:rsidR="00531B92" w:rsidRDefault="00531B92" w:rsidP="00531B92">
      <w:pPr>
        <w:spacing w:after="0" w:line="240" w:lineRule="auto"/>
        <w:rPr>
          <w:rFonts w:ascii="Verdana" w:hAnsi="Verdana"/>
        </w:rPr>
      </w:pPr>
      <w:r>
        <w:rPr>
          <w:rFonts w:ascii="Verdana" w:hAnsi="Verdana"/>
        </w:rPr>
        <w:t>Dernæst viser analysen, at forbrug rettet mode at hæve mennesker der i dag kun får en gymnasial uddannelse op på kandidatniveau har en betydelig selvfinansieringsgrad for den offentlige saldo på grund af øgede skatteindtægter fra de mennesker der er hævet til kandidatniveau.</w:t>
      </w:r>
    </w:p>
    <w:p w14:paraId="52D69AD2" w14:textId="77777777" w:rsidR="00531B92" w:rsidRDefault="00531B92" w:rsidP="00531B92">
      <w:pPr>
        <w:spacing w:after="0" w:line="240" w:lineRule="auto"/>
        <w:rPr>
          <w:rFonts w:ascii="Verdana" w:hAnsi="Verdana"/>
        </w:rPr>
      </w:pPr>
    </w:p>
    <w:p w14:paraId="0DFE5D4F" w14:textId="77777777" w:rsidR="00531B92" w:rsidRDefault="00531B92" w:rsidP="00531B92">
      <w:pPr>
        <w:spacing w:after="0" w:line="240" w:lineRule="auto"/>
        <w:rPr>
          <w:rFonts w:ascii="Verdana" w:hAnsi="Verdana"/>
        </w:rPr>
      </w:pPr>
    </w:p>
    <w:p w14:paraId="724E4C34" w14:textId="77777777" w:rsidR="00531B92" w:rsidRPr="0029624F" w:rsidRDefault="00531B92" w:rsidP="00531B92">
      <w:pPr>
        <w:spacing w:after="0" w:line="240" w:lineRule="auto"/>
        <w:rPr>
          <w:rFonts w:ascii="Verdana" w:hAnsi="Verdana"/>
          <w:b/>
        </w:rPr>
      </w:pPr>
      <w:r w:rsidRPr="0029624F">
        <w:rPr>
          <w:rFonts w:ascii="Verdana" w:hAnsi="Verdana"/>
          <w:b/>
        </w:rPr>
        <w:t>Forbrug på lavere klasekvotient i folkeskolen</w:t>
      </w:r>
    </w:p>
    <w:p w14:paraId="40CE630C" w14:textId="77777777" w:rsidR="00531B92" w:rsidRDefault="00531B92" w:rsidP="00531B92">
      <w:pPr>
        <w:spacing w:after="0" w:line="240" w:lineRule="auto"/>
        <w:rPr>
          <w:rFonts w:ascii="Verdana" w:hAnsi="Verdana"/>
        </w:rPr>
      </w:pPr>
    </w:p>
    <w:p w14:paraId="48BA9C73" w14:textId="77777777" w:rsidR="00531B92" w:rsidRDefault="00531B92" w:rsidP="00531B92">
      <w:pPr>
        <w:spacing w:after="0" w:line="240" w:lineRule="auto"/>
        <w:rPr>
          <w:rFonts w:ascii="Verdana" w:hAnsi="Verdana"/>
        </w:rPr>
      </w:pPr>
      <w:r>
        <w:rPr>
          <w:rFonts w:ascii="Verdana" w:hAnsi="Verdana"/>
        </w:rPr>
        <w:t xml:space="preserve">Denne del af analysen bygger på forskning fra blandt andet </w:t>
      </w:r>
      <w:proofErr w:type="spellStart"/>
      <w:r>
        <w:rPr>
          <w:rFonts w:ascii="Verdana" w:hAnsi="Verdana"/>
        </w:rPr>
        <w:t>Krueger</w:t>
      </w:r>
      <w:proofErr w:type="spellEnd"/>
      <w:r>
        <w:rPr>
          <w:rFonts w:ascii="Verdana" w:hAnsi="Verdana"/>
        </w:rPr>
        <w:t xml:space="preserve"> (2013) der viser, at en lavere klassekvotient vil føre til højere gennemsnitlige karakterer hos folkeskoleeleverne, og højere karakterer vil øge elevernes produktivitet, når de kommer ud på arbejdsmarkedet. Derfor stiger økonomiens produktivitet som helhed, når klassekvotienten sænkes, og bruttonationalproduktet øges dermed.</w:t>
      </w:r>
    </w:p>
    <w:p w14:paraId="3A10C07E" w14:textId="77777777" w:rsidR="00531B92" w:rsidRDefault="00531B92" w:rsidP="00531B92">
      <w:pPr>
        <w:spacing w:after="0" w:line="240" w:lineRule="auto"/>
        <w:rPr>
          <w:rFonts w:ascii="Verdana" w:hAnsi="Verdana"/>
        </w:rPr>
      </w:pPr>
    </w:p>
    <w:p w14:paraId="2FB57E03" w14:textId="417C35B6" w:rsidR="00531B92" w:rsidRDefault="00531B92" w:rsidP="00531B92">
      <w:pPr>
        <w:spacing w:after="0" w:line="240" w:lineRule="auto"/>
        <w:rPr>
          <w:rFonts w:ascii="Verdana" w:hAnsi="Verdana"/>
        </w:rPr>
      </w:pPr>
      <w:r>
        <w:rPr>
          <w:rFonts w:ascii="Verdana" w:hAnsi="Verdana"/>
        </w:rPr>
        <w:t>I analysen undersøger vi konkret, hvordan et øget offentligt forbrug på folkeskolen</w:t>
      </w:r>
      <w:r w:rsidR="00AA5878">
        <w:rPr>
          <w:rFonts w:ascii="Verdana" w:hAnsi="Verdana"/>
        </w:rPr>
        <w:t xml:space="preserve"> på 3,5 milliarder kroner</w:t>
      </w:r>
      <w:r>
        <w:rPr>
          <w:rFonts w:ascii="Verdana" w:hAnsi="Verdana"/>
        </w:rPr>
        <w:t xml:space="preserve"> rettet mod at sænke klassekvotienten med 10 procent vil styr</w:t>
      </w:r>
      <w:bookmarkStart w:id="0" w:name="_GoBack"/>
      <w:bookmarkEnd w:id="0"/>
      <w:r>
        <w:rPr>
          <w:rFonts w:ascii="Verdana" w:hAnsi="Verdana"/>
        </w:rPr>
        <w:t>ke uddannelseskvaliteten og øge timeproduktiviteten i samfundet med 1,33 procent og dermed gøre samfundet som helhed rigere. Oversat til 2018-niveau, vil en sådan effekt betyde</w:t>
      </w:r>
      <w:r>
        <w:rPr>
          <w:rFonts w:ascii="Verdana" w:eastAsiaTheme="minorEastAsia" w:hAnsi="Verdana"/>
          <w:iCs/>
        </w:rPr>
        <w:t>, at BNP ville være ca. 27 mia. kroner større end tilfældet er i dag</w:t>
      </w:r>
      <w:r>
        <w:rPr>
          <w:rFonts w:ascii="Verdana" w:hAnsi="Verdana"/>
        </w:rPr>
        <w:t xml:space="preserve">. </w:t>
      </w:r>
    </w:p>
    <w:p w14:paraId="60B00391" w14:textId="77777777" w:rsidR="00531B92" w:rsidRDefault="00531B92" w:rsidP="00531B92">
      <w:pPr>
        <w:spacing w:after="0" w:line="240" w:lineRule="auto"/>
        <w:rPr>
          <w:rFonts w:ascii="Verdana" w:hAnsi="Verdana"/>
        </w:rPr>
      </w:pPr>
    </w:p>
    <w:p w14:paraId="5B85C0A5" w14:textId="77777777" w:rsidR="00531B92" w:rsidRDefault="00531B92" w:rsidP="00531B92">
      <w:pPr>
        <w:spacing w:after="0" w:line="240" w:lineRule="auto"/>
        <w:rPr>
          <w:rFonts w:ascii="Verdana" w:hAnsi="Verdana"/>
          <w:b/>
        </w:rPr>
      </w:pPr>
    </w:p>
    <w:p w14:paraId="353C5428" w14:textId="77777777" w:rsidR="00531B92" w:rsidRPr="0029624F" w:rsidRDefault="00531B92" w:rsidP="00531B92">
      <w:pPr>
        <w:spacing w:after="0" w:line="240" w:lineRule="auto"/>
        <w:rPr>
          <w:rFonts w:ascii="Verdana" w:hAnsi="Verdana"/>
          <w:b/>
        </w:rPr>
      </w:pPr>
      <w:r w:rsidRPr="0029624F">
        <w:rPr>
          <w:rFonts w:ascii="Verdana" w:hAnsi="Verdana"/>
          <w:b/>
        </w:rPr>
        <w:t>Forbrug på at hæve mennesker fra gymnasial uddannelse til kandidatgrad</w:t>
      </w:r>
    </w:p>
    <w:p w14:paraId="667550AE" w14:textId="77777777" w:rsidR="00531B92" w:rsidRDefault="00531B92" w:rsidP="00531B92">
      <w:pPr>
        <w:spacing w:after="0" w:line="240" w:lineRule="auto"/>
        <w:rPr>
          <w:rFonts w:ascii="Verdana" w:hAnsi="Verdana"/>
        </w:rPr>
      </w:pPr>
    </w:p>
    <w:p w14:paraId="3DA50E5C" w14:textId="77777777" w:rsidR="00531B92" w:rsidRDefault="00531B92" w:rsidP="00531B92">
      <w:pPr>
        <w:spacing w:after="0" w:line="240" w:lineRule="auto"/>
        <w:rPr>
          <w:rFonts w:ascii="Verdana" w:hAnsi="Verdana"/>
        </w:rPr>
      </w:pPr>
      <w:r>
        <w:rPr>
          <w:rFonts w:ascii="Verdana" w:hAnsi="Verdana"/>
        </w:rPr>
        <w:t xml:space="preserve">Denne del af analysen bygger på forskning fra Junge &amp; Skaksen (2010) samt Fosse et. Al (2013) der viser, at der er en sammenhæng mellem et øget uddannelsesniveau og højere </w:t>
      </w:r>
      <w:proofErr w:type="spellStart"/>
      <w:r>
        <w:rPr>
          <w:rFonts w:ascii="Verdana" w:hAnsi="Verdana"/>
        </w:rPr>
        <w:t>højere</w:t>
      </w:r>
      <w:proofErr w:type="spellEnd"/>
      <w:r>
        <w:rPr>
          <w:rFonts w:ascii="Verdana" w:hAnsi="Verdana"/>
        </w:rPr>
        <w:t xml:space="preserve"> produktivitet målt ved lønindkomsterne. Et øget uddannelsesniveau kan således medføre øgede skatteindtægter for staten, som så kan vælge hvordan skatteindtægterne skal anvendes på for eksempel offentligt forbrug eller skattesænkninger. </w:t>
      </w:r>
    </w:p>
    <w:p w14:paraId="0024AF86" w14:textId="77777777" w:rsidR="00531B92" w:rsidRDefault="00531B92" w:rsidP="00531B92">
      <w:pPr>
        <w:spacing w:after="0" w:line="240" w:lineRule="auto"/>
        <w:rPr>
          <w:rFonts w:ascii="Verdana" w:hAnsi="Verdana"/>
        </w:rPr>
      </w:pPr>
    </w:p>
    <w:p w14:paraId="1A6E61D4" w14:textId="77777777" w:rsidR="00531B92" w:rsidRDefault="00531B92" w:rsidP="00531B92">
      <w:pPr>
        <w:spacing w:after="0" w:line="240" w:lineRule="auto"/>
        <w:rPr>
          <w:rFonts w:ascii="Verdana" w:hAnsi="Verdana"/>
        </w:rPr>
      </w:pPr>
      <w:r>
        <w:rPr>
          <w:rFonts w:ascii="Verdana" w:hAnsi="Verdana"/>
        </w:rPr>
        <w:t>I analysen konkluderer vi, at øget offentligt forbrug, rettet mod at hæve de mennesker der i dag kun får en gymnasial uddannelse til at få en universitetsuddannelse, vil have en selvfinansieringsgrad på 51 procent alene som følge af øget produktivitet for disse mennesker, der medfører øgede skatteindtægter for staten.</w:t>
      </w:r>
      <w:r w:rsidRPr="00D17966">
        <w:rPr>
          <w:rFonts w:ascii="Verdana" w:hAnsi="Verdana"/>
        </w:rPr>
        <w:t xml:space="preserve"> </w:t>
      </w:r>
      <w:r>
        <w:rPr>
          <w:rFonts w:ascii="Verdana" w:hAnsi="Verdana"/>
        </w:rPr>
        <w:t xml:space="preserve">Til sammenligning har nedsættelse af </w:t>
      </w:r>
      <w:r>
        <w:rPr>
          <w:rFonts w:ascii="Verdana" w:hAnsi="Verdana"/>
        </w:rPr>
        <w:lastRenderedPageBreak/>
        <w:t xml:space="preserve">topskattesatsen en selvfinansieringsgrad på 31 procent ifølge Finansministeriet </w:t>
      </w:r>
      <w:sdt>
        <w:sdtPr>
          <w:rPr>
            <w:rFonts w:ascii="Verdana" w:hAnsi="Verdana"/>
          </w:rPr>
          <w:id w:val="-574819862"/>
          <w:citation/>
        </w:sdtPr>
        <w:sdtEndPr/>
        <w:sdtContent>
          <w:r>
            <w:rPr>
              <w:rFonts w:ascii="Verdana" w:hAnsi="Verdana"/>
            </w:rPr>
            <w:fldChar w:fldCharType="begin"/>
          </w:r>
          <w:r>
            <w:rPr>
              <w:rFonts w:ascii="Verdana" w:hAnsi="Verdana"/>
            </w:rPr>
            <w:instrText xml:space="preserve"> CITATION Fin17 \l 1030 </w:instrText>
          </w:r>
          <w:r>
            <w:rPr>
              <w:rFonts w:ascii="Verdana" w:hAnsi="Verdana"/>
            </w:rPr>
            <w:fldChar w:fldCharType="separate"/>
          </w:r>
          <w:r>
            <w:rPr>
              <w:rFonts w:ascii="Verdana" w:hAnsi="Verdana"/>
              <w:noProof/>
            </w:rPr>
            <w:t>(Finansministeriet, 2017)</w:t>
          </w:r>
          <w:r>
            <w:rPr>
              <w:rFonts w:ascii="Verdana" w:hAnsi="Verdana"/>
            </w:rPr>
            <w:fldChar w:fldCharType="end"/>
          </w:r>
        </w:sdtContent>
      </w:sdt>
      <w:r>
        <w:rPr>
          <w:rFonts w:ascii="Verdana" w:hAnsi="Verdana"/>
        </w:rPr>
        <w:t>.</w:t>
      </w:r>
    </w:p>
    <w:p w14:paraId="17ABB3B3" w14:textId="77777777" w:rsidR="00531B92" w:rsidRDefault="00531B92" w:rsidP="00531B92">
      <w:pPr>
        <w:spacing w:after="0" w:line="240" w:lineRule="auto"/>
        <w:rPr>
          <w:rFonts w:ascii="Verdana" w:hAnsi="Verdana"/>
        </w:rPr>
      </w:pPr>
    </w:p>
    <w:p w14:paraId="311985EB" w14:textId="77777777" w:rsidR="00531B92" w:rsidRDefault="00531B92" w:rsidP="00531B92">
      <w:pPr>
        <w:spacing w:after="0" w:line="240" w:lineRule="auto"/>
        <w:rPr>
          <w:rFonts w:ascii="Verdana" w:hAnsi="Verdana"/>
          <w:b/>
        </w:rPr>
      </w:pPr>
    </w:p>
    <w:p w14:paraId="3B3354A1" w14:textId="77777777" w:rsidR="00531B92" w:rsidRDefault="00531B92" w:rsidP="00531B92">
      <w:pPr>
        <w:spacing w:after="0" w:line="240" w:lineRule="auto"/>
        <w:rPr>
          <w:rFonts w:ascii="Verdana" w:hAnsi="Verdana"/>
          <w:b/>
        </w:rPr>
      </w:pPr>
    </w:p>
    <w:p w14:paraId="3B4282C0" w14:textId="77777777" w:rsidR="00531B92" w:rsidRPr="0029624F" w:rsidRDefault="00531B92" w:rsidP="00531B92">
      <w:pPr>
        <w:spacing w:after="0" w:line="240" w:lineRule="auto"/>
        <w:rPr>
          <w:rFonts w:ascii="Verdana" w:hAnsi="Verdana"/>
          <w:b/>
        </w:rPr>
      </w:pPr>
      <w:r w:rsidRPr="0029624F">
        <w:rPr>
          <w:rFonts w:ascii="Verdana" w:hAnsi="Verdana"/>
          <w:b/>
        </w:rPr>
        <w:t>Dynamiske effekter af forbrug på uddannelse bør medtages i Finansministeriets regnemetoder</w:t>
      </w:r>
    </w:p>
    <w:p w14:paraId="019EC690" w14:textId="77777777" w:rsidR="00531B92" w:rsidRDefault="00531B92" w:rsidP="00531B92">
      <w:pPr>
        <w:spacing w:after="0" w:line="240" w:lineRule="auto"/>
        <w:rPr>
          <w:rFonts w:ascii="Verdana" w:hAnsi="Verdana"/>
        </w:rPr>
      </w:pPr>
    </w:p>
    <w:p w14:paraId="43342860" w14:textId="77777777" w:rsidR="00531B92" w:rsidRDefault="00531B92" w:rsidP="00531B92">
      <w:pPr>
        <w:spacing w:after="0" w:line="240" w:lineRule="auto"/>
        <w:rPr>
          <w:rFonts w:ascii="Verdana" w:hAnsi="Verdana"/>
        </w:rPr>
      </w:pPr>
      <w:r>
        <w:rPr>
          <w:rFonts w:ascii="Verdana" w:hAnsi="Verdana"/>
        </w:rPr>
        <w:t>Analysen peger således også i retning af en metode til at medregne dynamiske effekter af offentligt forbrug på uddannelsesområdet med henblik på at rette op på den nuværende skævhed i Finansministeriets regnemetoder.</w:t>
      </w:r>
    </w:p>
    <w:p w14:paraId="42FDCF35" w14:textId="77777777" w:rsidR="00531B92" w:rsidRDefault="00531B92" w:rsidP="00531B92">
      <w:pPr>
        <w:spacing w:after="0" w:line="240" w:lineRule="auto"/>
        <w:rPr>
          <w:rFonts w:ascii="Verdana" w:hAnsi="Verdana"/>
          <w:b/>
          <w:sz w:val="32"/>
        </w:rPr>
      </w:pPr>
    </w:p>
    <w:p w14:paraId="1E02EB83" w14:textId="77777777" w:rsidR="00531B92" w:rsidRDefault="00531B92" w:rsidP="00531B92">
      <w:pPr>
        <w:spacing w:after="0" w:line="240" w:lineRule="auto"/>
        <w:rPr>
          <w:rFonts w:ascii="Verdana" w:hAnsi="Verdana"/>
        </w:rPr>
      </w:pPr>
      <w:r>
        <w:rPr>
          <w:rFonts w:ascii="Verdana" w:hAnsi="Verdana"/>
        </w:rPr>
        <w:t xml:space="preserve">I dag regner Finansministeriet, når der laves samfundsøkonomiske fremskrivninger, med dynamiske effekter af ændringer i skatte- og afgiftssatser. Finansministeriet indregner derimod ikke dynamiske effekter af øget eller sænket offentligt forbrug på for eksempel uddannelse. </w:t>
      </w:r>
    </w:p>
    <w:p w14:paraId="7111D076" w14:textId="77777777" w:rsidR="00531B92" w:rsidRDefault="00531B92" w:rsidP="00531B92">
      <w:pPr>
        <w:spacing w:after="0" w:line="240" w:lineRule="auto"/>
        <w:rPr>
          <w:rFonts w:ascii="Verdana" w:hAnsi="Verdana"/>
        </w:rPr>
      </w:pPr>
    </w:p>
    <w:p w14:paraId="537730D5" w14:textId="77777777" w:rsidR="00531B92" w:rsidRDefault="00531B92" w:rsidP="00531B92">
      <w:pPr>
        <w:spacing w:after="0" w:line="240" w:lineRule="auto"/>
        <w:rPr>
          <w:rFonts w:ascii="Verdana" w:hAnsi="Verdana"/>
        </w:rPr>
      </w:pPr>
      <w:r>
        <w:rPr>
          <w:rFonts w:ascii="Verdana" w:hAnsi="Verdana"/>
        </w:rPr>
        <w:t xml:space="preserve">Det vil sige, at mens sænkning af skatter og afgifter i Finansministeriets beregninger øger udbuddet af arbejdskraft og derigennem er delvist selvfinansierende, så vil offentligt forbrug ikke øge produktiviteten og udelukkende tælle som en udgift. Denne bias i Finansministeriets regnemetoder kan ifølge Det Økonomiske Råd føre til en ”ubalanceret vurdering” af ændringer i skatte- og udgiftssystemet og føre til fejlvurderinger </w:t>
      </w:r>
      <w:sdt>
        <w:sdtPr>
          <w:rPr>
            <w:rFonts w:ascii="Verdana" w:hAnsi="Verdana"/>
          </w:rPr>
          <w:id w:val="1992836248"/>
          <w:citation/>
        </w:sdtPr>
        <w:sdtEndPr/>
        <w:sdtContent>
          <w:r>
            <w:rPr>
              <w:rFonts w:ascii="Verdana" w:hAnsi="Verdana"/>
            </w:rPr>
            <w:fldChar w:fldCharType="begin"/>
          </w:r>
          <w:r>
            <w:rPr>
              <w:rFonts w:ascii="Verdana" w:hAnsi="Verdana"/>
            </w:rPr>
            <w:instrText xml:space="preserve"> CITATION DeØ17 \l 1030 </w:instrText>
          </w:r>
          <w:r>
            <w:rPr>
              <w:rFonts w:ascii="Verdana" w:hAnsi="Verdana"/>
            </w:rPr>
            <w:fldChar w:fldCharType="separate"/>
          </w:r>
          <w:r w:rsidRPr="007B4043">
            <w:rPr>
              <w:rFonts w:ascii="Verdana" w:hAnsi="Verdana"/>
              <w:noProof/>
            </w:rPr>
            <w:t>(De Økonomiske Råd, 2017)</w:t>
          </w:r>
          <w:r>
            <w:rPr>
              <w:rFonts w:ascii="Verdana" w:hAnsi="Verdana"/>
            </w:rPr>
            <w:fldChar w:fldCharType="end"/>
          </w:r>
        </w:sdtContent>
      </w:sdt>
      <w:r>
        <w:rPr>
          <w:rFonts w:ascii="Verdana" w:hAnsi="Verdana"/>
        </w:rPr>
        <w:t>.</w:t>
      </w:r>
    </w:p>
    <w:p w14:paraId="1E993FDC" w14:textId="77777777" w:rsidR="00531B92" w:rsidRDefault="00531B92" w:rsidP="00531B92">
      <w:pPr>
        <w:spacing w:after="0" w:line="240" w:lineRule="auto"/>
        <w:rPr>
          <w:rFonts w:ascii="Verdana" w:hAnsi="Verdana"/>
          <w:b/>
          <w:sz w:val="32"/>
        </w:rPr>
      </w:pPr>
    </w:p>
    <w:p w14:paraId="7833A4A6" w14:textId="77777777" w:rsidR="00531B92" w:rsidRDefault="00531B92" w:rsidP="00531B92">
      <w:pPr>
        <w:spacing w:after="0" w:line="240" w:lineRule="auto"/>
        <w:rPr>
          <w:rFonts w:ascii="Verdana" w:hAnsi="Verdana"/>
          <w:b/>
          <w:sz w:val="32"/>
        </w:rPr>
      </w:pPr>
      <w:r>
        <w:rPr>
          <w:rFonts w:ascii="Verdana" w:hAnsi="Verdana"/>
          <w:b/>
          <w:sz w:val="32"/>
        </w:rPr>
        <w:br w:type="page"/>
      </w:r>
    </w:p>
    <w:p w14:paraId="771344BF" w14:textId="77777777" w:rsidR="00C73A61" w:rsidRDefault="00C73A61" w:rsidP="00C73A61">
      <w:pPr>
        <w:pStyle w:val="NoSpacing"/>
        <w:rPr>
          <w:rFonts w:ascii="Verdana" w:hAnsi="Verdana"/>
          <w:i/>
        </w:rPr>
      </w:pPr>
    </w:p>
    <w:p w14:paraId="394145CE" w14:textId="77777777" w:rsidR="00C73A61" w:rsidRPr="00550573" w:rsidRDefault="00C73A61" w:rsidP="003E608C">
      <w:pPr>
        <w:pStyle w:val="Heading2"/>
        <w:rPr>
          <w:lang w:val="da-DK" w:eastAsia="da-DK"/>
        </w:rPr>
      </w:pPr>
      <w:r w:rsidRPr="00550573">
        <w:rPr>
          <w:lang w:val="da-DK" w:eastAsia="da-DK"/>
        </w:rPr>
        <w:t>Offentlige udgifter til uddannelse i Danmark</w:t>
      </w:r>
    </w:p>
    <w:p w14:paraId="58D1FB0A" w14:textId="3A95F098" w:rsidR="00C73A61" w:rsidRDefault="00C73A61" w:rsidP="00256D5B">
      <w:pPr>
        <w:shd w:val="clear" w:color="auto" w:fill="FFFFFF"/>
        <w:rPr>
          <w:rFonts w:ascii="Verdana" w:hAnsi="Verdana"/>
        </w:rPr>
      </w:pPr>
      <w:r>
        <w:rPr>
          <w:rFonts w:ascii="Verdana" w:eastAsia="Times New Roman" w:hAnsi="Verdana" w:cs="Times New Roman"/>
          <w:lang w:eastAsia="da-DK"/>
        </w:rPr>
        <w:t>I Danmark anvendes en meget stor del af det samlede offentlige forbrug</w:t>
      </w:r>
      <w:r w:rsidR="000C19FB">
        <w:rPr>
          <w:rFonts w:ascii="Verdana" w:eastAsia="Times New Roman" w:hAnsi="Verdana" w:cs="Times New Roman"/>
          <w:lang w:eastAsia="da-DK"/>
        </w:rPr>
        <w:t xml:space="preserve"> – omkring 100 milliarder kroner årligt -</w:t>
      </w:r>
      <w:r>
        <w:rPr>
          <w:rFonts w:ascii="Verdana" w:eastAsia="Times New Roman" w:hAnsi="Verdana" w:cs="Times New Roman"/>
          <w:lang w:eastAsia="da-DK"/>
        </w:rPr>
        <w:t xml:space="preserve"> på uddannelse. Omtrent halvdelen af de samlede udgifter anvendes på grundskoleområdet, mens de resterende midler er fordelt ca. ligeligt imellem de videregående uddannelser og ungdomsuddannelserne. </w:t>
      </w:r>
      <w:r w:rsidR="000C19FB">
        <w:rPr>
          <w:rFonts w:ascii="Verdana" w:hAnsi="Verdana"/>
        </w:rPr>
        <w:t xml:space="preserve"> I Finansloven for 2018 er der l</w:t>
      </w:r>
      <w:r w:rsidR="005A22DF">
        <w:rPr>
          <w:rFonts w:ascii="Verdana" w:hAnsi="Verdana"/>
        </w:rPr>
        <w:t>agt op til besparelser på uddannelsesudgifterne de kommende år</w:t>
      </w:r>
      <w:r>
        <w:rPr>
          <w:rFonts w:ascii="Verdana" w:hAnsi="Verdana"/>
        </w:rPr>
        <w:t xml:space="preserve"> I Tabel </w:t>
      </w:r>
      <w:r w:rsidR="005A22DF">
        <w:rPr>
          <w:rFonts w:ascii="Verdana" w:hAnsi="Verdana"/>
        </w:rPr>
        <w:t>1</w:t>
      </w:r>
      <w:r>
        <w:rPr>
          <w:rFonts w:ascii="Verdana" w:hAnsi="Verdana"/>
        </w:rPr>
        <w:t xml:space="preserve"> herunder er de samlede udgifter til de to ministerier, som primært varetager uddannelsesaktiviteten i Danmark, således præsenteret. Det bemærkes, at de samlede udgifter til uddannelse</w:t>
      </w:r>
      <w:r w:rsidR="005A22DF">
        <w:rPr>
          <w:rFonts w:ascii="Verdana" w:hAnsi="Verdana"/>
        </w:rPr>
        <w:t xml:space="preserve"> som fremgår af tabel 1</w:t>
      </w:r>
      <w:r>
        <w:rPr>
          <w:rFonts w:ascii="Verdana" w:hAnsi="Verdana"/>
        </w:rPr>
        <w:t xml:space="preserve"> er væsentligt mindre end</w:t>
      </w:r>
      <w:r w:rsidR="005A22DF">
        <w:rPr>
          <w:rFonts w:ascii="Verdana" w:hAnsi="Verdana"/>
        </w:rPr>
        <w:t xml:space="preserve"> 100 milliarder</w:t>
      </w:r>
      <w:r>
        <w:rPr>
          <w:rFonts w:ascii="Verdana" w:hAnsi="Verdana"/>
        </w:rPr>
        <w:t>, hvilket skyldes</w:t>
      </w:r>
      <w:r w:rsidR="00897D9E">
        <w:rPr>
          <w:rFonts w:ascii="Verdana" w:hAnsi="Verdana"/>
        </w:rPr>
        <w:t>,</w:t>
      </w:r>
      <w:r>
        <w:rPr>
          <w:rFonts w:ascii="Verdana" w:hAnsi="Verdana"/>
        </w:rPr>
        <w:t xml:space="preserve"> at en del af udgifterne til uddannelse afholdes af andre ministerier og enheder – f.eks. </w:t>
      </w:r>
      <w:r w:rsidR="00897D9E">
        <w:rPr>
          <w:rFonts w:ascii="Verdana" w:hAnsi="Verdana"/>
        </w:rPr>
        <w:t>B</w:t>
      </w:r>
      <w:r>
        <w:rPr>
          <w:rFonts w:ascii="Verdana" w:hAnsi="Verdana"/>
        </w:rPr>
        <w:t>eskæftigelsesministeriet og kommunerne</w:t>
      </w:r>
      <w:r w:rsidR="005A22DF">
        <w:rPr>
          <w:rFonts w:ascii="Verdana" w:hAnsi="Verdana"/>
        </w:rPr>
        <w:t>.</w:t>
      </w:r>
    </w:p>
    <w:p w14:paraId="0A988DB8" w14:textId="253BD555" w:rsidR="00C73A61" w:rsidRDefault="00C73A61" w:rsidP="00C73A61">
      <w:pPr>
        <w:pStyle w:val="NoSpacing"/>
        <w:rPr>
          <w:rFonts w:ascii="Verdana" w:hAnsi="Verdana"/>
          <w:i/>
        </w:rPr>
      </w:pPr>
      <w:r>
        <w:rPr>
          <w:rFonts w:ascii="Verdana" w:hAnsi="Verdana"/>
          <w:i/>
        </w:rPr>
        <w:t xml:space="preserve">Tabel </w:t>
      </w:r>
      <w:r w:rsidR="005A22DF">
        <w:rPr>
          <w:rFonts w:ascii="Verdana" w:hAnsi="Verdana"/>
          <w:i/>
        </w:rPr>
        <w:t>1</w:t>
      </w:r>
      <w:r>
        <w:rPr>
          <w:rFonts w:ascii="Verdana" w:hAnsi="Verdana"/>
          <w:i/>
        </w:rPr>
        <w:t>: Budgetterede udgifter til uddannelse og undervisning, FFL 2018</w:t>
      </w:r>
    </w:p>
    <w:tbl>
      <w:tblPr>
        <w:tblStyle w:val="LightShading"/>
        <w:tblW w:w="9081" w:type="dxa"/>
        <w:tblLook w:val="04A0" w:firstRow="1" w:lastRow="0" w:firstColumn="1" w:lastColumn="0" w:noHBand="0" w:noVBand="1"/>
      </w:tblPr>
      <w:tblGrid>
        <w:gridCol w:w="3531"/>
        <w:gridCol w:w="925"/>
        <w:gridCol w:w="925"/>
        <w:gridCol w:w="925"/>
        <w:gridCol w:w="925"/>
        <w:gridCol w:w="925"/>
        <w:gridCol w:w="925"/>
      </w:tblGrid>
      <w:tr w:rsidR="00C73A61" w:rsidRPr="005B5ED5" w14:paraId="0D99663E" w14:textId="77777777" w:rsidTr="0063541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31" w:type="dxa"/>
            <w:noWrap/>
            <w:hideMark/>
          </w:tcPr>
          <w:p w14:paraId="19819294" w14:textId="77777777" w:rsidR="00C73A61" w:rsidRPr="005B5ED5" w:rsidRDefault="00C73A61" w:rsidP="0063541E">
            <w:pPr>
              <w:rPr>
                <w:rFonts w:ascii="Verdana" w:eastAsia="Times New Roman" w:hAnsi="Verdana" w:cs="Times New Roman"/>
                <w:sz w:val="20"/>
                <w:szCs w:val="24"/>
                <w:lang w:eastAsia="da-DK"/>
              </w:rPr>
            </w:pPr>
          </w:p>
        </w:tc>
        <w:tc>
          <w:tcPr>
            <w:tcW w:w="925" w:type="dxa"/>
            <w:noWrap/>
            <w:hideMark/>
          </w:tcPr>
          <w:p w14:paraId="1AE0FD3A" w14:textId="77777777" w:rsidR="00C73A61" w:rsidRPr="005B5ED5" w:rsidRDefault="00C73A61" w:rsidP="0063541E">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2016</w:t>
            </w:r>
          </w:p>
        </w:tc>
        <w:tc>
          <w:tcPr>
            <w:tcW w:w="925" w:type="dxa"/>
            <w:noWrap/>
            <w:hideMark/>
          </w:tcPr>
          <w:p w14:paraId="445F5C28" w14:textId="77777777" w:rsidR="00C73A61" w:rsidRPr="005B5ED5" w:rsidRDefault="00C73A61" w:rsidP="0063541E">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2017</w:t>
            </w:r>
          </w:p>
        </w:tc>
        <w:tc>
          <w:tcPr>
            <w:tcW w:w="925" w:type="dxa"/>
            <w:noWrap/>
            <w:hideMark/>
          </w:tcPr>
          <w:p w14:paraId="195F4C51" w14:textId="77777777" w:rsidR="00C73A61" w:rsidRPr="005B5ED5" w:rsidRDefault="00C73A61" w:rsidP="0063541E">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2018</w:t>
            </w:r>
          </w:p>
        </w:tc>
        <w:tc>
          <w:tcPr>
            <w:tcW w:w="925" w:type="dxa"/>
            <w:noWrap/>
            <w:hideMark/>
          </w:tcPr>
          <w:p w14:paraId="77FF7479" w14:textId="77777777" w:rsidR="00C73A61" w:rsidRPr="005B5ED5" w:rsidRDefault="00C73A61" w:rsidP="0063541E">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2019</w:t>
            </w:r>
          </w:p>
        </w:tc>
        <w:tc>
          <w:tcPr>
            <w:tcW w:w="925" w:type="dxa"/>
            <w:noWrap/>
            <w:hideMark/>
          </w:tcPr>
          <w:p w14:paraId="1E2436E0" w14:textId="77777777" w:rsidR="00C73A61" w:rsidRPr="005B5ED5" w:rsidRDefault="00C73A61" w:rsidP="0063541E">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2020</w:t>
            </w:r>
          </w:p>
        </w:tc>
        <w:tc>
          <w:tcPr>
            <w:tcW w:w="925" w:type="dxa"/>
            <w:noWrap/>
            <w:hideMark/>
          </w:tcPr>
          <w:p w14:paraId="6E59FF05" w14:textId="77777777" w:rsidR="00C73A61" w:rsidRPr="005B5ED5" w:rsidRDefault="00C73A61" w:rsidP="0063541E">
            <w:pPr>
              <w:jc w:val="right"/>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2021</w:t>
            </w:r>
          </w:p>
        </w:tc>
      </w:tr>
      <w:tr w:rsidR="00C73A61" w:rsidRPr="005B5ED5" w14:paraId="0ACB9F9E" w14:textId="77777777" w:rsidTr="0063541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31" w:type="dxa"/>
            <w:noWrap/>
            <w:hideMark/>
          </w:tcPr>
          <w:p w14:paraId="50F42314" w14:textId="77777777" w:rsidR="00C73A61" w:rsidRPr="005B5ED5" w:rsidRDefault="00C73A61" w:rsidP="0063541E">
            <w:pPr>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19 Uddannelses- og Forskningsministeriet</w:t>
            </w:r>
          </w:p>
        </w:tc>
        <w:tc>
          <w:tcPr>
            <w:tcW w:w="925" w:type="dxa"/>
            <w:noWrap/>
            <w:hideMark/>
          </w:tcPr>
          <w:p w14:paraId="40F285D7"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49.580</w:t>
            </w:r>
          </w:p>
        </w:tc>
        <w:tc>
          <w:tcPr>
            <w:tcW w:w="925" w:type="dxa"/>
            <w:noWrap/>
            <w:hideMark/>
          </w:tcPr>
          <w:p w14:paraId="33055F33"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50.859</w:t>
            </w:r>
          </w:p>
        </w:tc>
        <w:tc>
          <w:tcPr>
            <w:tcW w:w="925" w:type="dxa"/>
            <w:noWrap/>
            <w:hideMark/>
          </w:tcPr>
          <w:p w14:paraId="7021F60D"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51.219</w:t>
            </w:r>
          </w:p>
        </w:tc>
        <w:tc>
          <w:tcPr>
            <w:tcW w:w="925" w:type="dxa"/>
            <w:noWrap/>
            <w:hideMark/>
          </w:tcPr>
          <w:p w14:paraId="61E93859"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50.646</w:t>
            </w:r>
          </w:p>
        </w:tc>
        <w:tc>
          <w:tcPr>
            <w:tcW w:w="925" w:type="dxa"/>
            <w:noWrap/>
            <w:hideMark/>
          </w:tcPr>
          <w:p w14:paraId="4B239043"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48.505</w:t>
            </w:r>
          </w:p>
        </w:tc>
        <w:tc>
          <w:tcPr>
            <w:tcW w:w="925" w:type="dxa"/>
            <w:noWrap/>
            <w:hideMark/>
          </w:tcPr>
          <w:p w14:paraId="2E6243B1"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48.093</w:t>
            </w:r>
          </w:p>
        </w:tc>
      </w:tr>
      <w:tr w:rsidR="00C73A61" w:rsidRPr="005B5ED5" w14:paraId="4041758C" w14:textId="77777777" w:rsidTr="0063541E">
        <w:trPr>
          <w:trHeight w:val="330"/>
        </w:trPr>
        <w:tc>
          <w:tcPr>
            <w:cnfStyle w:val="001000000000" w:firstRow="0" w:lastRow="0" w:firstColumn="1" w:lastColumn="0" w:oddVBand="0" w:evenVBand="0" w:oddHBand="0" w:evenHBand="0" w:firstRowFirstColumn="0" w:firstRowLastColumn="0" w:lastRowFirstColumn="0" w:lastRowLastColumn="0"/>
            <w:tcW w:w="3531" w:type="dxa"/>
            <w:noWrap/>
            <w:hideMark/>
          </w:tcPr>
          <w:p w14:paraId="40B71A5C" w14:textId="77777777" w:rsidR="00C73A61" w:rsidRPr="005B5ED5" w:rsidRDefault="00C73A61" w:rsidP="0063541E">
            <w:pPr>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20 Undervisningsministeriet</w:t>
            </w:r>
          </w:p>
        </w:tc>
        <w:tc>
          <w:tcPr>
            <w:tcW w:w="925" w:type="dxa"/>
            <w:noWrap/>
            <w:hideMark/>
          </w:tcPr>
          <w:p w14:paraId="4B7B0A79"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28.685</w:t>
            </w:r>
          </w:p>
        </w:tc>
        <w:tc>
          <w:tcPr>
            <w:tcW w:w="925" w:type="dxa"/>
            <w:noWrap/>
            <w:hideMark/>
          </w:tcPr>
          <w:p w14:paraId="4A4D8FA2"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30.009</w:t>
            </w:r>
          </w:p>
        </w:tc>
        <w:tc>
          <w:tcPr>
            <w:tcW w:w="925" w:type="dxa"/>
            <w:noWrap/>
            <w:hideMark/>
          </w:tcPr>
          <w:p w14:paraId="1C8C253A"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29.814</w:t>
            </w:r>
          </w:p>
        </w:tc>
        <w:tc>
          <w:tcPr>
            <w:tcW w:w="925" w:type="dxa"/>
            <w:noWrap/>
            <w:hideMark/>
          </w:tcPr>
          <w:p w14:paraId="477CE0B6"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29.132</w:t>
            </w:r>
          </w:p>
        </w:tc>
        <w:tc>
          <w:tcPr>
            <w:tcW w:w="925" w:type="dxa"/>
            <w:noWrap/>
            <w:hideMark/>
          </w:tcPr>
          <w:p w14:paraId="1CC57A44"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28.311</w:t>
            </w:r>
          </w:p>
        </w:tc>
        <w:tc>
          <w:tcPr>
            <w:tcW w:w="925" w:type="dxa"/>
            <w:noWrap/>
            <w:hideMark/>
          </w:tcPr>
          <w:p w14:paraId="5EF03581"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27.447</w:t>
            </w:r>
          </w:p>
        </w:tc>
      </w:tr>
      <w:tr w:rsidR="00C73A61" w:rsidRPr="005B5ED5" w14:paraId="1B53E8DC" w14:textId="77777777" w:rsidTr="0063541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31" w:type="dxa"/>
            <w:noWrap/>
            <w:hideMark/>
          </w:tcPr>
          <w:p w14:paraId="2A4753FA" w14:textId="77777777" w:rsidR="00C73A61" w:rsidRPr="005B5ED5" w:rsidRDefault="00C73A61" w:rsidP="0063541E">
            <w:pPr>
              <w:rPr>
                <w:rFonts w:ascii="Verdana" w:eastAsia="Times New Roman" w:hAnsi="Verdana" w:cs="Calibri"/>
                <w:color w:val="000000"/>
                <w:sz w:val="20"/>
                <w:lang w:eastAsia="da-DK"/>
              </w:rPr>
            </w:pPr>
            <w:r>
              <w:rPr>
                <w:rFonts w:ascii="Verdana" w:eastAsia="Times New Roman" w:hAnsi="Verdana" w:cs="Calibri"/>
                <w:color w:val="000000"/>
                <w:sz w:val="20"/>
                <w:lang w:eastAsia="da-DK"/>
              </w:rPr>
              <w:t xml:space="preserve">Undervisning </w:t>
            </w:r>
            <w:r w:rsidRPr="005B5ED5">
              <w:rPr>
                <w:rFonts w:ascii="Verdana" w:eastAsia="Times New Roman" w:hAnsi="Verdana" w:cs="Calibri"/>
                <w:color w:val="000000"/>
                <w:sz w:val="20"/>
                <w:lang w:eastAsia="da-DK"/>
              </w:rPr>
              <w:t>I alt</w:t>
            </w:r>
          </w:p>
        </w:tc>
        <w:tc>
          <w:tcPr>
            <w:tcW w:w="925" w:type="dxa"/>
            <w:noWrap/>
            <w:hideMark/>
          </w:tcPr>
          <w:p w14:paraId="0D6D68AD"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78.265</w:t>
            </w:r>
          </w:p>
        </w:tc>
        <w:tc>
          <w:tcPr>
            <w:tcW w:w="925" w:type="dxa"/>
            <w:noWrap/>
            <w:hideMark/>
          </w:tcPr>
          <w:p w14:paraId="395579EF"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80.868</w:t>
            </w:r>
          </w:p>
        </w:tc>
        <w:tc>
          <w:tcPr>
            <w:tcW w:w="925" w:type="dxa"/>
            <w:noWrap/>
            <w:hideMark/>
          </w:tcPr>
          <w:p w14:paraId="1F338B6F"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81.034</w:t>
            </w:r>
          </w:p>
        </w:tc>
        <w:tc>
          <w:tcPr>
            <w:tcW w:w="925" w:type="dxa"/>
            <w:noWrap/>
            <w:hideMark/>
          </w:tcPr>
          <w:p w14:paraId="1778F15A"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79.778</w:t>
            </w:r>
          </w:p>
        </w:tc>
        <w:tc>
          <w:tcPr>
            <w:tcW w:w="925" w:type="dxa"/>
            <w:noWrap/>
            <w:hideMark/>
          </w:tcPr>
          <w:p w14:paraId="15CFBCE0"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76.816</w:t>
            </w:r>
          </w:p>
        </w:tc>
        <w:tc>
          <w:tcPr>
            <w:tcW w:w="925" w:type="dxa"/>
            <w:noWrap/>
            <w:hideMark/>
          </w:tcPr>
          <w:p w14:paraId="5D8D932C" w14:textId="77777777" w:rsidR="00C73A61" w:rsidRPr="005B5ED5" w:rsidRDefault="00C73A61" w:rsidP="0063541E">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20"/>
                <w:lang w:eastAsia="da-DK"/>
              </w:rPr>
            </w:pPr>
            <w:r w:rsidRPr="005B5ED5">
              <w:rPr>
                <w:rFonts w:ascii="Verdana" w:eastAsia="Times New Roman" w:hAnsi="Verdana" w:cs="Calibri"/>
                <w:color w:val="000000"/>
                <w:sz w:val="20"/>
                <w:lang w:eastAsia="da-DK"/>
              </w:rPr>
              <w:t>75.540</w:t>
            </w:r>
          </w:p>
        </w:tc>
      </w:tr>
      <w:tr w:rsidR="00C73A61" w:rsidRPr="005B5ED5" w14:paraId="7493FD0F" w14:textId="77777777" w:rsidTr="0063541E">
        <w:trPr>
          <w:trHeight w:val="330"/>
        </w:trPr>
        <w:tc>
          <w:tcPr>
            <w:cnfStyle w:val="001000000000" w:firstRow="0" w:lastRow="0" w:firstColumn="1" w:lastColumn="0" w:oddVBand="0" w:evenVBand="0" w:oddHBand="0" w:evenHBand="0" w:firstRowFirstColumn="0" w:firstRowLastColumn="0" w:lastRowFirstColumn="0" w:lastRowLastColumn="0"/>
            <w:tcW w:w="3531" w:type="dxa"/>
            <w:noWrap/>
          </w:tcPr>
          <w:p w14:paraId="7D190CA5" w14:textId="77777777" w:rsidR="00C73A61" w:rsidRDefault="00C73A61" w:rsidP="0063541E">
            <w:pPr>
              <w:rPr>
                <w:rFonts w:ascii="Verdana" w:eastAsia="Times New Roman" w:hAnsi="Verdana" w:cs="Calibri"/>
                <w:color w:val="000000"/>
                <w:sz w:val="20"/>
                <w:lang w:eastAsia="da-DK"/>
              </w:rPr>
            </w:pPr>
            <w:r>
              <w:rPr>
                <w:rFonts w:ascii="Verdana" w:eastAsia="Times New Roman" w:hAnsi="Verdana" w:cs="Calibri"/>
                <w:color w:val="000000"/>
                <w:sz w:val="20"/>
                <w:lang w:eastAsia="da-DK"/>
              </w:rPr>
              <w:t>Udvikling i pct.</w:t>
            </w:r>
          </w:p>
        </w:tc>
        <w:tc>
          <w:tcPr>
            <w:tcW w:w="925" w:type="dxa"/>
            <w:noWrap/>
          </w:tcPr>
          <w:p w14:paraId="45071625"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20"/>
                <w:lang w:eastAsia="da-DK"/>
              </w:rPr>
            </w:pPr>
          </w:p>
        </w:tc>
        <w:tc>
          <w:tcPr>
            <w:tcW w:w="925" w:type="dxa"/>
            <w:noWrap/>
            <w:vAlign w:val="bottom"/>
          </w:tcPr>
          <w:p w14:paraId="3BE95B30"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rPr>
            </w:pPr>
            <w:r w:rsidRPr="005B5ED5">
              <w:rPr>
                <w:rFonts w:ascii="Verdana" w:hAnsi="Verdana" w:cs="Calibri"/>
                <w:color w:val="000000"/>
                <w:sz w:val="20"/>
              </w:rPr>
              <w:t>3,</w:t>
            </w:r>
            <w:proofErr w:type="gramStart"/>
            <w:r w:rsidRPr="005B5ED5">
              <w:rPr>
                <w:rFonts w:ascii="Verdana" w:hAnsi="Verdana" w:cs="Calibri"/>
                <w:color w:val="000000"/>
                <w:sz w:val="20"/>
              </w:rPr>
              <w:t>3%</w:t>
            </w:r>
            <w:proofErr w:type="gramEnd"/>
          </w:p>
        </w:tc>
        <w:tc>
          <w:tcPr>
            <w:tcW w:w="925" w:type="dxa"/>
            <w:noWrap/>
            <w:vAlign w:val="bottom"/>
          </w:tcPr>
          <w:p w14:paraId="025C20CD"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rPr>
            </w:pPr>
            <w:r w:rsidRPr="005B5ED5">
              <w:rPr>
                <w:rFonts w:ascii="Verdana" w:hAnsi="Verdana" w:cs="Calibri"/>
                <w:color w:val="000000"/>
                <w:sz w:val="20"/>
              </w:rPr>
              <w:t>0,</w:t>
            </w:r>
            <w:proofErr w:type="gramStart"/>
            <w:r w:rsidRPr="005B5ED5">
              <w:rPr>
                <w:rFonts w:ascii="Verdana" w:hAnsi="Verdana" w:cs="Calibri"/>
                <w:color w:val="000000"/>
                <w:sz w:val="20"/>
              </w:rPr>
              <w:t>2%</w:t>
            </w:r>
            <w:proofErr w:type="gramEnd"/>
          </w:p>
        </w:tc>
        <w:tc>
          <w:tcPr>
            <w:tcW w:w="925" w:type="dxa"/>
            <w:noWrap/>
            <w:vAlign w:val="bottom"/>
          </w:tcPr>
          <w:p w14:paraId="2362FC37"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rPr>
            </w:pPr>
            <w:r w:rsidRPr="005B5ED5">
              <w:rPr>
                <w:rFonts w:ascii="Verdana" w:hAnsi="Verdana" w:cs="Calibri"/>
                <w:color w:val="000000"/>
                <w:sz w:val="20"/>
              </w:rPr>
              <w:t>-1,</w:t>
            </w:r>
            <w:proofErr w:type="gramStart"/>
            <w:r w:rsidRPr="005B5ED5">
              <w:rPr>
                <w:rFonts w:ascii="Verdana" w:hAnsi="Verdana" w:cs="Calibri"/>
                <w:color w:val="000000"/>
                <w:sz w:val="20"/>
              </w:rPr>
              <w:t>5%</w:t>
            </w:r>
            <w:proofErr w:type="gramEnd"/>
          </w:p>
        </w:tc>
        <w:tc>
          <w:tcPr>
            <w:tcW w:w="925" w:type="dxa"/>
            <w:noWrap/>
            <w:vAlign w:val="bottom"/>
          </w:tcPr>
          <w:p w14:paraId="2772961D"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rPr>
            </w:pPr>
            <w:r w:rsidRPr="005B5ED5">
              <w:rPr>
                <w:rFonts w:ascii="Verdana" w:hAnsi="Verdana" w:cs="Calibri"/>
                <w:color w:val="000000"/>
                <w:sz w:val="20"/>
              </w:rPr>
              <w:t>-3,</w:t>
            </w:r>
            <w:proofErr w:type="gramStart"/>
            <w:r w:rsidRPr="005B5ED5">
              <w:rPr>
                <w:rFonts w:ascii="Verdana" w:hAnsi="Verdana" w:cs="Calibri"/>
                <w:color w:val="000000"/>
                <w:sz w:val="20"/>
              </w:rPr>
              <w:t>7%</w:t>
            </w:r>
            <w:proofErr w:type="gramEnd"/>
          </w:p>
        </w:tc>
        <w:tc>
          <w:tcPr>
            <w:tcW w:w="925" w:type="dxa"/>
            <w:noWrap/>
            <w:vAlign w:val="bottom"/>
          </w:tcPr>
          <w:p w14:paraId="71F58FA1" w14:textId="77777777" w:rsidR="00C73A61" w:rsidRPr="005B5ED5" w:rsidRDefault="00C73A61" w:rsidP="0063541E">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rPr>
            </w:pPr>
            <w:r w:rsidRPr="005B5ED5">
              <w:rPr>
                <w:rFonts w:ascii="Verdana" w:hAnsi="Verdana" w:cs="Calibri"/>
                <w:color w:val="000000"/>
                <w:sz w:val="20"/>
              </w:rPr>
              <w:t>-1,</w:t>
            </w:r>
            <w:proofErr w:type="gramStart"/>
            <w:r w:rsidRPr="005B5ED5">
              <w:rPr>
                <w:rFonts w:ascii="Verdana" w:hAnsi="Verdana" w:cs="Calibri"/>
                <w:color w:val="000000"/>
                <w:sz w:val="20"/>
              </w:rPr>
              <w:t>7%</w:t>
            </w:r>
            <w:proofErr w:type="gramEnd"/>
          </w:p>
        </w:tc>
      </w:tr>
    </w:tbl>
    <w:p w14:paraId="6C60261A" w14:textId="77777777" w:rsidR="00C73A61" w:rsidRPr="006A0FEA" w:rsidRDefault="00C73A61" w:rsidP="00C73A61">
      <w:pPr>
        <w:pStyle w:val="NoSpacing"/>
        <w:rPr>
          <w:rFonts w:ascii="Verdana" w:hAnsi="Verdana"/>
          <w:i/>
          <w:sz w:val="20"/>
        </w:rPr>
      </w:pPr>
      <w:proofErr w:type="spellStart"/>
      <w:r w:rsidRPr="006A0FEA">
        <w:rPr>
          <w:rFonts w:ascii="Verdana" w:hAnsi="Verdana"/>
          <w:i/>
          <w:sz w:val="20"/>
        </w:rPr>
        <w:t>Anm</w:t>
      </w:r>
      <w:proofErr w:type="spellEnd"/>
      <w:r w:rsidRPr="006A0FEA">
        <w:rPr>
          <w:rFonts w:ascii="Verdana" w:hAnsi="Verdana"/>
          <w:i/>
          <w:sz w:val="20"/>
        </w:rPr>
        <w:t xml:space="preserve">: Mio. kr. i 2017-priser </w:t>
      </w:r>
    </w:p>
    <w:p w14:paraId="3FA2A4D0" w14:textId="77777777" w:rsidR="00C73A61" w:rsidRPr="006A0FEA" w:rsidRDefault="00C73A61" w:rsidP="00C73A61">
      <w:pPr>
        <w:pStyle w:val="NoSpacing"/>
        <w:rPr>
          <w:rFonts w:ascii="Verdana" w:hAnsi="Verdana"/>
          <w:i/>
          <w:sz w:val="20"/>
        </w:rPr>
      </w:pPr>
      <w:r w:rsidRPr="006A0FEA">
        <w:rPr>
          <w:rFonts w:ascii="Verdana" w:hAnsi="Verdana"/>
          <w:i/>
          <w:sz w:val="20"/>
        </w:rPr>
        <w:t xml:space="preserve">Kilde: </w:t>
      </w:r>
      <w:hyperlink r:id="rId9" w:history="1">
        <w:r w:rsidRPr="006A0FEA">
          <w:rPr>
            <w:rStyle w:val="Hyperlink"/>
            <w:rFonts w:ascii="Verdana" w:hAnsi="Verdana"/>
            <w:i/>
            <w:sz w:val="20"/>
          </w:rPr>
          <w:t>http://www.oes-cs.dk/olapdatabase/finanslov/index.cgi</w:t>
        </w:r>
      </w:hyperlink>
    </w:p>
    <w:p w14:paraId="5D9992A8" w14:textId="77777777" w:rsidR="00C73A61" w:rsidRPr="006A0FEA" w:rsidRDefault="00C73A61" w:rsidP="00C73A61">
      <w:pPr>
        <w:rPr>
          <w:rFonts w:ascii="Verdana" w:hAnsi="Verdana"/>
          <w:sz w:val="20"/>
        </w:rPr>
      </w:pPr>
    </w:p>
    <w:p w14:paraId="679C21BA" w14:textId="5FB04FCB" w:rsidR="00C73A61" w:rsidRPr="001E34A7" w:rsidRDefault="00C73A61" w:rsidP="00C73A61">
      <w:pPr>
        <w:rPr>
          <w:rFonts w:ascii="Verdana" w:hAnsi="Verdana"/>
        </w:rPr>
      </w:pPr>
      <w:r>
        <w:rPr>
          <w:rFonts w:ascii="Verdana" w:hAnsi="Verdana"/>
        </w:rPr>
        <w:t>Dette efterlader et konkret behov for at belyse, hvorvidt de planlagte uddannelsesbesparelser kommer til at påvirke fremtidens produktivitet eller ej. I</w:t>
      </w:r>
      <w:r w:rsidRPr="001E34A7">
        <w:rPr>
          <w:rFonts w:ascii="Verdana" w:hAnsi="Verdana"/>
        </w:rPr>
        <w:t xml:space="preserve">ndenfor forskningsfeltet </w:t>
      </w:r>
      <w:proofErr w:type="spellStart"/>
      <w:r w:rsidRPr="001E34A7">
        <w:rPr>
          <w:rFonts w:ascii="Verdana" w:hAnsi="Verdana"/>
          <w:i/>
        </w:rPr>
        <w:t>Labor</w:t>
      </w:r>
      <w:proofErr w:type="spellEnd"/>
      <w:r w:rsidRPr="001E34A7">
        <w:rPr>
          <w:rFonts w:ascii="Verdana" w:hAnsi="Verdana"/>
          <w:i/>
        </w:rPr>
        <w:t xml:space="preserve"> </w:t>
      </w:r>
      <w:proofErr w:type="spellStart"/>
      <w:r w:rsidRPr="001E34A7">
        <w:rPr>
          <w:rFonts w:ascii="Verdana" w:hAnsi="Verdana"/>
          <w:i/>
        </w:rPr>
        <w:t>economics</w:t>
      </w:r>
      <w:proofErr w:type="spellEnd"/>
      <w:r w:rsidRPr="001E34A7">
        <w:rPr>
          <w:rFonts w:ascii="Verdana" w:hAnsi="Verdana"/>
          <w:i/>
        </w:rPr>
        <w:t xml:space="preserve"> </w:t>
      </w:r>
      <w:r w:rsidRPr="001E34A7">
        <w:rPr>
          <w:rFonts w:ascii="Verdana" w:hAnsi="Verdana"/>
        </w:rPr>
        <w:t xml:space="preserve">er det, bredt set, anerkendt, at der findes et substantielt monetært afkast af individers investering i uddannelse. </w:t>
      </w:r>
      <w:proofErr w:type="gramStart"/>
      <w:r w:rsidRPr="001E34A7">
        <w:rPr>
          <w:rFonts w:ascii="Verdana" w:hAnsi="Verdana"/>
        </w:rPr>
        <w:t>Indenfor denne litteratur behandles</w:t>
      </w:r>
      <w:proofErr w:type="gramEnd"/>
      <w:r w:rsidRPr="001E34A7">
        <w:rPr>
          <w:rFonts w:ascii="Verdana" w:hAnsi="Verdana"/>
        </w:rPr>
        <w:t xml:space="preserve"> efterspørgslen efter uddannelse </w:t>
      </w:r>
      <w:r>
        <w:rPr>
          <w:rFonts w:ascii="Verdana" w:hAnsi="Verdana"/>
        </w:rPr>
        <w:t>med human</w:t>
      </w:r>
      <w:r w:rsidRPr="001E34A7">
        <w:rPr>
          <w:rFonts w:ascii="Verdana" w:hAnsi="Verdana"/>
        </w:rPr>
        <w:t xml:space="preserve">kapitalteorier, hvor uddannelse er en investering af nuværende ressourcer i fremtidige ressourcer. Dette </w:t>
      </w:r>
      <w:proofErr w:type="spellStart"/>
      <w:r w:rsidRPr="001E34A7">
        <w:rPr>
          <w:rFonts w:ascii="Verdana" w:hAnsi="Verdana"/>
        </w:rPr>
        <w:t>framework</w:t>
      </w:r>
      <w:proofErr w:type="spellEnd"/>
      <w:r w:rsidRPr="001E34A7">
        <w:rPr>
          <w:rFonts w:ascii="Verdana" w:hAnsi="Verdana"/>
        </w:rPr>
        <w:t xml:space="preserve"> blev udviklet gen</w:t>
      </w:r>
      <w:r>
        <w:rPr>
          <w:rFonts w:ascii="Verdana" w:hAnsi="Verdana"/>
        </w:rPr>
        <w:t xml:space="preserve">nem </w:t>
      </w:r>
      <w:r w:rsidR="00FC7A60">
        <w:rPr>
          <w:rFonts w:ascii="Verdana" w:hAnsi="Verdana"/>
        </w:rPr>
        <w:t>19</w:t>
      </w:r>
      <w:r>
        <w:rPr>
          <w:rFonts w:ascii="Verdana" w:hAnsi="Verdana"/>
        </w:rPr>
        <w:t>60’erne og 70’erne af bl.a.</w:t>
      </w:r>
      <w:r w:rsidRPr="001E34A7">
        <w:rPr>
          <w:rFonts w:ascii="Verdana" w:hAnsi="Verdana"/>
        </w:rPr>
        <w:t xml:space="preserve"> Gary Becker, Jacob </w:t>
      </w:r>
      <w:proofErr w:type="spellStart"/>
      <w:r w:rsidRPr="001E34A7">
        <w:rPr>
          <w:rFonts w:ascii="Verdana" w:hAnsi="Verdana"/>
        </w:rPr>
        <w:t>Mincer</w:t>
      </w:r>
      <w:proofErr w:type="spellEnd"/>
      <w:r w:rsidRPr="001E34A7">
        <w:rPr>
          <w:rFonts w:ascii="Verdana" w:hAnsi="Verdana"/>
        </w:rPr>
        <w:t xml:space="preserve"> og Theodore Schultz. Se bl.a. </w:t>
      </w:r>
      <w:sdt>
        <w:sdtPr>
          <w:rPr>
            <w:rFonts w:ascii="Verdana" w:hAnsi="Verdana"/>
          </w:rPr>
          <w:id w:val="-436441533"/>
          <w:citation/>
        </w:sdtPr>
        <w:sdtEndPr/>
        <w:sdtContent>
          <w:r w:rsidRPr="001E34A7">
            <w:rPr>
              <w:rFonts w:ascii="Verdana" w:hAnsi="Verdana"/>
            </w:rPr>
            <w:fldChar w:fldCharType="begin"/>
          </w:r>
          <w:r w:rsidRPr="001E34A7">
            <w:rPr>
              <w:rFonts w:ascii="Verdana" w:hAnsi="Verdana"/>
            </w:rPr>
            <w:instrText xml:space="preserve"> CITATION Bec64 \l 1030 </w:instrText>
          </w:r>
          <w:r w:rsidRPr="001E34A7">
            <w:rPr>
              <w:rFonts w:ascii="Verdana" w:hAnsi="Verdana"/>
            </w:rPr>
            <w:fldChar w:fldCharType="separate"/>
          </w:r>
          <w:r w:rsidR="006A0FEA" w:rsidRPr="006A0FEA">
            <w:rPr>
              <w:rFonts w:ascii="Verdana" w:hAnsi="Verdana"/>
              <w:noProof/>
            </w:rPr>
            <w:t>(Becker, 1964)</w:t>
          </w:r>
          <w:r w:rsidRPr="001E34A7">
            <w:rPr>
              <w:rFonts w:ascii="Verdana" w:hAnsi="Verdana"/>
            </w:rPr>
            <w:fldChar w:fldCharType="end"/>
          </w:r>
        </w:sdtContent>
      </w:sdt>
      <w:r w:rsidRPr="001E34A7">
        <w:rPr>
          <w:rFonts w:ascii="Verdana" w:hAnsi="Verdana"/>
        </w:rPr>
        <w:t xml:space="preserve"> og </w:t>
      </w:r>
      <w:sdt>
        <w:sdtPr>
          <w:rPr>
            <w:rFonts w:ascii="Verdana" w:hAnsi="Verdana"/>
          </w:rPr>
          <w:id w:val="1310123981"/>
          <w:citation/>
        </w:sdtPr>
        <w:sdtEndPr/>
        <w:sdtContent>
          <w:r w:rsidRPr="001E34A7">
            <w:rPr>
              <w:rFonts w:ascii="Verdana" w:hAnsi="Verdana"/>
            </w:rPr>
            <w:fldChar w:fldCharType="begin"/>
          </w:r>
          <w:r w:rsidRPr="001E34A7">
            <w:rPr>
              <w:rFonts w:ascii="Verdana" w:hAnsi="Verdana"/>
            </w:rPr>
            <w:instrText xml:space="preserve"> CITATION Min74 \l 1030 </w:instrText>
          </w:r>
          <w:r w:rsidRPr="001E34A7">
            <w:rPr>
              <w:rFonts w:ascii="Verdana" w:hAnsi="Verdana"/>
            </w:rPr>
            <w:fldChar w:fldCharType="separate"/>
          </w:r>
          <w:r w:rsidR="006A0FEA" w:rsidRPr="006A0FEA">
            <w:rPr>
              <w:rFonts w:ascii="Verdana" w:hAnsi="Verdana"/>
              <w:noProof/>
            </w:rPr>
            <w:t>(Mincer, 1974)</w:t>
          </w:r>
          <w:r w:rsidRPr="001E34A7">
            <w:rPr>
              <w:rFonts w:ascii="Verdana" w:hAnsi="Verdana"/>
            </w:rPr>
            <w:fldChar w:fldCharType="end"/>
          </w:r>
        </w:sdtContent>
      </w:sdt>
      <w:r w:rsidRPr="001E34A7">
        <w:rPr>
          <w:rFonts w:ascii="Verdana" w:hAnsi="Verdana"/>
        </w:rPr>
        <w:t>.</w:t>
      </w:r>
    </w:p>
    <w:p w14:paraId="6BC6CF95" w14:textId="43C4588C" w:rsidR="00C73A61" w:rsidRDefault="00C73A61" w:rsidP="00C73A61">
      <w:pPr>
        <w:rPr>
          <w:rFonts w:ascii="Verdana" w:hAnsi="Verdana"/>
        </w:rPr>
      </w:pPr>
      <w:r w:rsidRPr="001E34A7">
        <w:rPr>
          <w:rFonts w:ascii="Verdana" w:hAnsi="Verdana"/>
        </w:rPr>
        <w:t xml:space="preserve">Udfordringen </w:t>
      </w:r>
      <w:r>
        <w:rPr>
          <w:rFonts w:ascii="Verdana" w:hAnsi="Verdana"/>
        </w:rPr>
        <w:t>ved</w:t>
      </w:r>
      <w:r w:rsidRPr="001E34A7">
        <w:rPr>
          <w:rFonts w:ascii="Verdana" w:hAnsi="Verdana"/>
        </w:rPr>
        <w:t xml:space="preserve"> </w:t>
      </w:r>
      <w:r>
        <w:rPr>
          <w:rFonts w:ascii="Verdana" w:hAnsi="Verdana"/>
        </w:rPr>
        <w:t xml:space="preserve">udelukkende at </w:t>
      </w:r>
      <w:r w:rsidRPr="001E34A7">
        <w:rPr>
          <w:rFonts w:ascii="Verdana" w:hAnsi="Verdana"/>
        </w:rPr>
        <w:t xml:space="preserve">fokusere på </w:t>
      </w:r>
      <w:r w:rsidRPr="001E34A7">
        <w:rPr>
          <w:rFonts w:ascii="Verdana" w:hAnsi="Verdana"/>
          <w:i/>
        </w:rPr>
        <w:t>individuelle</w:t>
      </w:r>
      <w:r w:rsidRPr="001E34A7">
        <w:rPr>
          <w:rFonts w:ascii="Verdana" w:hAnsi="Verdana"/>
        </w:rPr>
        <w:t xml:space="preserve"> afkast er, ifølge blandt andre Barbara </w:t>
      </w:r>
      <w:proofErr w:type="spellStart"/>
      <w:r w:rsidRPr="001E34A7">
        <w:rPr>
          <w:rFonts w:ascii="Verdana" w:hAnsi="Verdana"/>
        </w:rPr>
        <w:t>Sianesi</w:t>
      </w:r>
      <w:proofErr w:type="spellEnd"/>
      <w:r w:rsidRPr="001E34A7">
        <w:rPr>
          <w:rFonts w:ascii="Verdana" w:hAnsi="Verdana"/>
        </w:rPr>
        <w:t xml:space="preserve"> og John Van </w:t>
      </w:r>
      <w:proofErr w:type="spellStart"/>
      <w:r w:rsidRPr="001E34A7">
        <w:rPr>
          <w:rFonts w:ascii="Verdana" w:hAnsi="Verdana"/>
        </w:rPr>
        <w:t>Reenen</w:t>
      </w:r>
      <w:proofErr w:type="spellEnd"/>
      <w:r w:rsidRPr="001E34A7">
        <w:rPr>
          <w:rFonts w:ascii="Verdana" w:hAnsi="Verdana"/>
        </w:rPr>
        <w:t xml:space="preserve"> </w:t>
      </w:r>
      <w:sdt>
        <w:sdtPr>
          <w:rPr>
            <w:rFonts w:ascii="Verdana" w:hAnsi="Verdana"/>
          </w:rPr>
          <w:id w:val="365266066"/>
          <w:citation/>
        </w:sdtPr>
        <w:sdtEndPr/>
        <w:sdtContent>
          <w:r w:rsidRPr="001E34A7">
            <w:rPr>
              <w:rFonts w:ascii="Verdana" w:hAnsi="Verdana"/>
            </w:rPr>
            <w:fldChar w:fldCharType="begin"/>
          </w:r>
          <w:r w:rsidRPr="001E34A7">
            <w:rPr>
              <w:rFonts w:ascii="Verdana" w:hAnsi="Verdana"/>
            </w:rPr>
            <w:instrText xml:space="preserve"> CITATION Sia03 \l 1030 </w:instrText>
          </w:r>
          <w:r w:rsidRPr="001E34A7">
            <w:rPr>
              <w:rFonts w:ascii="Verdana" w:hAnsi="Verdana"/>
            </w:rPr>
            <w:fldChar w:fldCharType="separate"/>
          </w:r>
          <w:r w:rsidR="006A0FEA" w:rsidRPr="006A0FEA">
            <w:rPr>
              <w:rFonts w:ascii="Verdana" w:hAnsi="Verdana"/>
              <w:noProof/>
            </w:rPr>
            <w:t>(Sianesi &amp; Reenen, 2003)</w:t>
          </w:r>
          <w:r w:rsidRPr="001E34A7">
            <w:rPr>
              <w:rFonts w:ascii="Verdana" w:hAnsi="Verdana"/>
            </w:rPr>
            <w:fldChar w:fldCharType="end"/>
          </w:r>
        </w:sdtContent>
      </w:sdt>
      <w:r w:rsidRPr="001E34A7">
        <w:rPr>
          <w:rFonts w:ascii="Verdana" w:hAnsi="Verdana"/>
        </w:rPr>
        <w:t xml:space="preserve">, at effekterne muligvis undervurderes, </w:t>
      </w:r>
      <w:r w:rsidR="005359FA">
        <w:rPr>
          <w:rFonts w:ascii="Verdana" w:hAnsi="Verdana"/>
        </w:rPr>
        <w:t>da uddannelse også kan betragtes som</w:t>
      </w:r>
      <w:r w:rsidR="0032169C">
        <w:rPr>
          <w:rFonts w:ascii="Verdana" w:hAnsi="Verdana"/>
        </w:rPr>
        <w:t xml:space="preserve"> </w:t>
      </w:r>
      <w:r>
        <w:rPr>
          <w:rFonts w:ascii="Verdana" w:hAnsi="Verdana"/>
        </w:rPr>
        <w:t xml:space="preserve">et </w:t>
      </w:r>
      <w:r w:rsidR="00FC7A60">
        <w:rPr>
          <w:rFonts w:ascii="Verdana" w:hAnsi="Verdana"/>
        </w:rPr>
        <w:t>”</w:t>
      </w:r>
      <w:r w:rsidRPr="001E34A7">
        <w:rPr>
          <w:rFonts w:ascii="Verdana" w:hAnsi="Verdana"/>
        </w:rPr>
        <w:t>offentligt gode</w:t>
      </w:r>
      <w:r w:rsidR="00FC7A60">
        <w:rPr>
          <w:rFonts w:ascii="Verdana" w:hAnsi="Verdana"/>
        </w:rPr>
        <w:t>”</w:t>
      </w:r>
      <w:r w:rsidRPr="001E34A7">
        <w:rPr>
          <w:rFonts w:ascii="Verdana" w:hAnsi="Verdana"/>
        </w:rPr>
        <w:t xml:space="preserve">. </w:t>
      </w:r>
      <w:proofErr w:type="spellStart"/>
      <w:r w:rsidRPr="001E34A7">
        <w:rPr>
          <w:rFonts w:ascii="Verdana" w:hAnsi="Verdana"/>
        </w:rPr>
        <w:t>Sianesi</w:t>
      </w:r>
      <w:proofErr w:type="spellEnd"/>
      <w:r w:rsidRPr="001E34A7">
        <w:rPr>
          <w:rFonts w:ascii="Verdana" w:hAnsi="Verdana"/>
        </w:rPr>
        <w:t xml:space="preserve"> og </w:t>
      </w:r>
      <w:proofErr w:type="spellStart"/>
      <w:r w:rsidRPr="001E34A7">
        <w:rPr>
          <w:rFonts w:ascii="Verdana" w:hAnsi="Verdana"/>
        </w:rPr>
        <w:t>Reenen</w:t>
      </w:r>
      <w:proofErr w:type="spellEnd"/>
      <w:r w:rsidR="005359FA">
        <w:rPr>
          <w:rFonts w:ascii="Verdana" w:hAnsi="Verdana"/>
        </w:rPr>
        <w:t xml:space="preserve"> fremfører</w:t>
      </w:r>
      <w:r w:rsidRPr="001E34A7">
        <w:rPr>
          <w:rFonts w:ascii="Verdana" w:hAnsi="Verdana"/>
        </w:rPr>
        <w:t>,</w:t>
      </w:r>
      <w:r w:rsidR="005359FA">
        <w:rPr>
          <w:rFonts w:ascii="Verdana" w:hAnsi="Verdana"/>
        </w:rPr>
        <w:t xml:space="preserve"> at</w:t>
      </w:r>
      <w:r w:rsidRPr="001E34A7">
        <w:rPr>
          <w:rFonts w:ascii="Verdana" w:hAnsi="Verdana"/>
        </w:rPr>
        <w:t xml:space="preserve"> der</w:t>
      </w:r>
      <w:r w:rsidR="005359FA">
        <w:rPr>
          <w:rFonts w:ascii="Verdana" w:hAnsi="Verdana"/>
        </w:rPr>
        <w:t xml:space="preserve"> er</w:t>
      </w:r>
      <w:r w:rsidRPr="001E34A7">
        <w:rPr>
          <w:rFonts w:ascii="Verdana" w:hAnsi="Verdana"/>
        </w:rPr>
        <w:t xml:space="preserve"> en sandsynlighed for, </w:t>
      </w:r>
      <w:r w:rsidRPr="001E34A7">
        <w:rPr>
          <w:rFonts w:ascii="Verdana" w:hAnsi="Verdana"/>
        </w:rPr>
        <w:lastRenderedPageBreak/>
        <w:t xml:space="preserve">at der findes en </w:t>
      </w:r>
      <w:proofErr w:type="spellStart"/>
      <w:r w:rsidRPr="001E34A7">
        <w:rPr>
          <w:rFonts w:ascii="Verdana" w:hAnsi="Verdana"/>
        </w:rPr>
        <w:t>spill</w:t>
      </w:r>
      <w:proofErr w:type="spellEnd"/>
      <w:r w:rsidRPr="001E34A7">
        <w:rPr>
          <w:rFonts w:ascii="Verdana" w:hAnsi="Verdana"/>
        </w:rPr>
        <w:t>-over effekt fra uddannelse, så</w:t>
      </w:r>
      <w:r w:rsidR="00A22772">
        <w:rPr>
          <w:rFonts w:ascii="Verdana" w:hAnsi="Verdana"/>
        </w:rPr>
        <w:t>ledes at det</w:t>
      </w:r>
      <w:r w:rsidRPr="001E34A7">
        <w:rPr>
          <w:rFonts w:ascii="Verdana" w:hAnsi="Verdana"/>
        </w:rPr>
        <w:t xml:space="preserve"> ikke </w:t>
      </w:r>
      <w:r w:rsidR="00A22772">
        <w:rPr>
          <w:rFonts w:ascii="Verdana" w:hAnsi="Verdana"/>
        </w:rPr>
        <w:t>blot er</w:t>
      </w:r>
      <w:r w:rsidR="00A22772" w:rsidRPr="001E34A7">
        <w:rPr>
          <w:rFonts w:ascii="Verdana" w:hAnsi="Verdana"/>
        </w:rPr>
        <w:t xml:space="preserve"> </w:t>
      </w:r>
      <w:r w:rsidRPr="001E34A7">
        <w:rPr>
          <w:rFonts w:ascii="Verdana" w:hAnsi="Verdana"/>
        </w:rPr>
        <w:t>personen, der uddanner sig, men også andre individer indenfor den pågældende virksomhed, by, region eller økonomien i det hele taget</w:t>
      </w:r>
      <w:r w:rsidR="00A22772">
        <w:rPr>
          <w:rFonts w:ascii="Verdana" w:hAnsi="Verdana"/>
        </w:rPr>
        <w:t>, der får noget ud af</w:t>
      </w:r>
      <w:r>
        <w:rPr>
          <w:rFonts w:ascii="Verdana" w:hAnsi="Verdana"/>
        </w:rPr>
        <w:t xml:space="preserve"> uddannelsen</w:t>
      </w:r>
      <w:r w:rsidR="00A22772">
        <w:rPr>
          <w:rFonts w:ascii="Verdana" w:hAnsi="Verdana"/>
        </w:rPr>
        <w:t xml:space="preserve"> i form af positive produktivitetseffekter</w:t>
      </w:r>
      <w:r w:rsidRPr="001E34A7">
        <w:rPr>
          <w:rFonts w:ascii="Verdana" w:hAnsi="Verdana"/>
        </w:rPr>
        <w:t xml:space="preserve"> (</w:t>
      </w:r>
      <w:proofErr w:type="spellStart"/>
      <w:r w:rsidRPr="001E34A7">
        <w:rPr>
          <w:rFonts w:ascii="Verdana" w:hAnsi="Verdana"/>
        </w:rPr>
        <w:t>ibid</w:t>
      </w:r>
      <w:proofErr w:type="spellEnd"/>
      <w:r w:rsidRPr="001E34A7">
        <w:rPr>
          <w:rFonts w:ascii="Verdana" w:hAnsi="Verdana"/>
        </w:rPr>
        <w:t xml:space="preserve">). Ifølge </w:t>
      </w:r>
      <w:proofErr w:type="spellStart"/>
      <w:r w:rsidRPr="001E34A7">
        <w:rPr>
          <w:rFonts w:ascii="Verdana" w:hAnsi="Verdana"/>
        </w:rPr>
        <w:t>Sianesi</w:t>
      </w:r>
      <w:proofErr w:type="spellEnd"/>
      <w:r w:rsidRPr="001E34A7">
        <w:rPr>
          <w:rFonts w:ascii="Verdana" w:hAnsi="Verdana"/>
        </w:rPr>
        <w:t xml:space="preserve"> og </w:t>
      </w:r>
      <w:proofErr w:type="spellStart"/>
      <w:r w:rsidRPr="001E34A7">
        <w:rPr>
          <w:rFonts w:ascii="Verdana" w:hAnsi="Verdana"/>
        </w:rPr>
        <w:t>Reenen</w:t>
      </w:r>
      <w:proofErr w:type="spellEnd"/>
      <w:r w:rsidRPr="001E34A7">
        <w:rPr>
          <w:rFonts w:ascii="Verdana" w:hAnsi="Verdana"/>
        </w:rPr>
        <w:t xml:space="preserve"> er det netop disse effekter, som retfærdiggør offentlig støtte til uddannelse </w:t>
      </w:r>
      <w:r>
        <w:rPr>
          <w:rFonts w:ascii="Verdana" w:hAnsi="Verdana"/>
        </w:rPr>
        <w:t>(</w:t>
      </w:r>
      <w:proofErr w:type="spellStart"/>
      <w:r>
        <w:rPr>
          <w:rFonts w:ascii="Verdana" w:hAnsi="Verdana"/>
        </w:rPr>
        <w:t>ibid</w:t>
      </w:r>
      <w:proofErr w:type="spellEnd"/>
      <w:r>
        <w:rPr>
          <w:rFonts w:ascii="Verdana" w:hAnsi="Verdana"/>
        </w:rPr>
        <w:t>).</w:t>
      </w:r>
    </w:p>
    <w:p w14:paraId="4516805D" w14:textId="77777777" w:rsidR="00C73A61" w:rsidRDefault="00C73A61" w:rsidP="00C73A61">
      <w:pPr>
        <w:pStyle w:val="NoSpacing"/>
        <w:rPr>
          <w:rFonts w:ascii="Verdana" w:hAnsi="Verdana"/>
        </w:rPr>
      </w:pPr>
      <w:r>
        <w:rPr>
          <w:rFonts w:ascii="Verdana" w:hAnsi="Verdana"/>
        </w:rPr>
        <w:t xml:space="preserve">Spørgsmålet er, hvordan disse makroøkonomiske effekter kan beregnes og inddrages, når det offentlige budget skal lægges. Dette har været et hyppigt undersøgt område, både i dansk og international sammenhæng. Resultaterne af en række af disse undersøgelser vil blive nærmere gennemgået i det følgende afsnit. </w:t>
      </w:r>
    </w:p>
    <w:p w14:paraId="0B4745BB" w14:textId="77777777" w:rsidR="00C73A61" w:rsidRDefault="00C73A61" w:rsidP="00C73A61">
      <w:pPr>
        <w:pStyle w:val="NoSpacing"/>
        <w:rPr>
          <w:rFonts w:ascii="Verdana" w:hAnsi="Verdana"/>
        </w:rPr>
      </w:pPr>
    </w:p>
    <w:p w14:paraId="484AD786" w14:textId="77777777" w:rsidR="00C73A61" w:rsidRDefault="00C73A61" w:rsidP="00C73A61">
      <w:pPr>
        <w:pStyle w:val="NoSpacing"/>
        <w:rPr>
          <w:rFonts w:ascii="Verdana" w:hAnsi="Verdana"/>
        </w:rPr>
      </w:pPr>
      <w:r>
        <w:rPr>
          <w:rFonts w:ascii="Verdana" w:hAnsi="Verdana"/>
        </w:rPr>
        <w:t xml:space="preserve">Der foretages i det afsluttende afsnit, </w:t>
      </w:r>
      <w:r w:rsidRPr="00AB6ECC">
        <w:rPr>
          <w:rFonts w:ascii="Verdana" w:hAnsi="Verdana"/>
          <w:i/>
        </w:rPr>
        <w:t>Opregning af effekt</w:t>
      </w:r>
      <w:r>
        <w:rPr>
          <w:rFonts w:ascii="Verdana" w:hAnsi="Verdana"/>
          <w:i/>
        </w:rPr>
        <w:t>,</w:t>
      </w:r>
      <w:r>
        <w:rPr>
          <w:rFonts w:ascii="Verdana" w:hAnsi="Verdana"/>
        </w:rPr>
        <w:t xml:space="preserve"> to stiliserede beregninger for ændringer af hhv. bevillingen til det samlede uddannelsessystem og bevillingen specifikt til de videregående uddannelser. Først følger dog en introduktion til den omfattende litteratur, som har undersøgt effekterne af uddannelse</w:t>
      </w:r>
    </w:p>
    <w:p w14:paraId="7A3AF92E" w14:textId="77777777" w:rsidR="00C73A61" w:rsidRDefault="00C73A61" w:rsidP="00C73A61">
      <w:pPr>
        <w:rPr>
          <w:rFonts w:ascii="Verdana" w:hAnsi="Verdana"/>
          <w:b/>
        </w:rPr>
      </w:pPr>
    </w:p>
    <w:p w14:paraId="4376612E" w14:textId="77777777" w:rsidR="00C73A61" w:rsidRPr="00550573" w:rsidRDefault="00C73A61" w:rsidP="003E608C">
      <w:pPr>
        <w:pStyle w:val="Heading2"/>
        <w:rPr>
          <w:lang w:val="da-DK"/>
        </w:rPr>
      </w:pPr>
      <w:r w:rsidRPr="00550573">
        <w:rPr>
          <w:lang w:val="da-DK"/>
        </w:rPr>
        <w:t>Studier af makroøkonomiske effekter af offentlige uddannelsesinvesteringer</w:t>
      </w:r>
    </w:p>
    <w:p w14:paraId="2F7B0B23" w14:textId="77777777" w:rsidR="00C73A61" w:rsidRDefault="00C73A61" w:rsidP="00C73A61">
      <w:pPr>
        <w:rPr>
          <w:rFonts w:ascii="Verdana" w:hAnsi="Verdana"/>
        </w:rPr>
      </w:pPr>
      <w:r>
        <w:rPr>
          <w:rFonts w:ascii="Verdana" w:hAnsi="Verdana"/>
        </w:rPr>
        <w:t>Over de seneste årtier har en række forskere forsøgt at estimere</w:t>
      </w:r>
      <w:r w:rsidR="0032169C">
        <w:rPr>
          <w:rFonts w:ascii="Verdana" w:hAnsi="Verdana"/>
        </w:rPr>
        <w:t>,</w:t>
      </w:r>
      <w:r>
        <w:rPr>
          <w:rFonts w:ascii="Verdana" w:hAnsi="Verdana"/>
        </w:rPr>
        <w:t xml:space="preserve"> hvilken præcis effekt offentlige udgifter til uddannelse har på centrale makroøkonomiske størrelser. Herunder følger en gennemgang af en række studier, men gennemgangen er langt fra dækkende. I det følgende er der</w:t>
      </w:r>
      <w:r w:rsidR="0032169C">
        <w:rPr>
          <w:rFonts w:ascii="Verdana" w:hAnsi="Verdana"/>
        </w:rPr>
        <w:t xml:space="preserve"> således</w:t>
      </w:r>
      <w:r>
        <w:rPr>
          <w:rFonts w:ascii="Verdana" w:hAnsi="Verdana"/>
        </w:rPr>
        <w:t xml:space="preserve"> fokuseret på overordnede analyser, som beskæftiger sig med sammenhængen mellem uddannelse og produktivitet i et samfund og altså hverken effekten til beskæftigelse eller træk på øvrige offentlige udgifter. </w:t>
      </w:r>
    </w:p>
    <w:p w14:paraId="1E6706FF" w14:textId="28D5A1C6" w:rsidR="00C73A61" w:rsidRDefault="00C73A61" w:rsidP="00C73A61">
      <w:pPr>
        <w:rPr>
          <w:rFonts w:ascii="Verdana" w:hAnsi="Verdana"/>
          <w:i/>
        </w:rPr>
      </w:pPr>
      <w:r>
        <w:rPr>
          <w:rFonts w:ascii="Verdana" w:hAnsi="Verdana"/>
        </w:rPr>
        <w:t>Et udgangspunkt for gennemgangen af relevante studier kunne være</w:t>
      </w:r>
      <w:r w:rsidRPr="004F08B9">
        <w:rPr>
          <w:rFonts w:ascii="Verdana" w:hAnsi="Verdana"/>
        </w:rPr>
        <w:t xml:space="preserve"> </w:t>
      </w:r>
      <w:r w:rsidRPr="004F08B9">
        <w:rPr>
          <w:rFonts w:ascii="Verdana" w:hAnsi="Verdana"/>
          <w:i/>
        </w:rPr>
        <w:t xml:space="preserve">’The Returns to Education: </w:t>
      </w:r>
      <w:proofErr w:type="spellStart"/>
      <w:r w:rsidRPr="004F08B9">
        <w:rPr>
          <w:rFonts w:ascii="Verdana" w:hAnsi="Verdana"/>
          <w:i/>
        </w:rPr>
        <w:t>Macroeconomics</w:t>
      </w:r>
      <w:proofErr w:type="spellEnd"/>
      <w:r w:rsidRPr="004F08B9">
        <w:rPr>
          <w:rFonts w:ascii="Verdana" w:hAnsi="Verdana"/>
          <w:i/>
        </w:rPr>
        <w:t>’</w:t>
      </w:r>
      <w:r w:rsidRPr="004F08B9">
        <w:rPr>
          <w:rFonts w:ascii="Verdana" w:hAnsi="Verdana"/>
        </w:rPr>
        <w:t xml:space="preserve"> af </w:t>
      </w:r>
      <w:proofErr w:type="spellStart"/>
      <w:r w:rsidRPr="004F08B9">
        <w:rPr>
          <w:rFonts w:ascii="Verdana" w:hAnsi="Verdana"/>
        </w:rPr>
        <w:t>Sianesi</w:t>
      </w:r>
      <w:proofErr w:type="spellEnd"/>
      <w:r w:rsidRPr="004F08B9">
        <w:rPr>
          <w:rFonts w:ascii="Verdana" w:hAnsi="Verdana"/>
        </w:rPr>
        <w:t xml:space="preserve"> og </w:t>
      </w:r>
      <w:proofErr w:type="spellStart"/>
      <w:r w:rsidRPr="004F08B9">
        <w:rPr>
          <w:rFonts w:ascii="Verdana" w:hAnsi="Verdana"/>
        </w:rPr>
        <w:t>Re</w:t>
      </w:r>
      <w:r>
        <w:rPr>
          <w:rFonts w:ascii="Verdana" w:hAnsi="Verdana"/>
        </w:rPr>
        <w:t>enen</w:t>
      </w:r>
      <w:proofErr w:type="spellEnd"/>
      <w:r>
        <w:rPr>
          <w:rFonts w:ascii="Verdana" w:hAnsi="Verdana"/>
        </w:rPr>
        <w:t xml:space="preserve"> fra 2003. Her gennemfører forfatterne et metastudie, hvor de </w:t>
      </w:r>
      <w:r w:rsidRPr="00DE69C9">
        <w:rPr>
          <w:rFonts w:ascii="Verdana" w:hAnsi="Verdana"/>
        </w:rPr>
        <w:t>gennemgår</w:t>
      </w:r>
      <w:r>
        <w:rPr>
          <w:rFonts w:ascii="Verdana" w:hAnsi="Verdana"/>
        </w:rPr>
        <w:t xml:space="preserve"> </w:t>
      </w:r>
      <w:r w:rsidRPr="00DE69C9">
        <w:rPr>
          <w:rFonts w:ascii="Verdana" w:hAnsi="Verdana"/>
        </w:rPr>
        <w:t xml:space="preserve">mere end 15 studier af uddannelses betydning for vækstraten i BNP. </w:t>
      </w:r>
      <w:r>
        <w:rPr>
          <w:rFonts w:ascii="Verdana" w:hAnsi="Verdana"/>
        </w:rPr>
        <w:t xml:space="preserve">Der </w:t>
      </w:r>
      <w:r w:rsidR="0032169C">
        <w:rPr>
          <w:rFonts w:ascii="Verdana" w:hAnsi="Verdana"/>
        </w:rPr>
        <w:t>undersøges</w:t>
      </w:r>
      <w:r w:rsidRPr="00DE69C9">
        <w:rPr>
          <w:rFonts w:ascii="Verdana" w:hAnsi="Verdana"/>
        </w:rPr>
        <w:t xml:space="preserve"> både bidraget</w:t>
      </w:r>
      <w:r>
        <w:rPr>
          <w:rFonts w:ascii="Verdana" w:hAnsi="Verdana"/>
        </w:rPr>
        <w:t xml:space="preserve"> til den </w:t>
      </w:r>
      <w:proofErr w:type="spellStart"/>
      <w:r>
        <w:rPr>
          <w:rFonts w:ascii="Verdana" w:hAnsi="Verdana"/>
        </w:rPr>
        <w:t>residuale</w:t>
      </w:r>
      <w:proofErr w:type="spellEnd"/>
      <w:r>
        <w:rPr>
          <w:rFonts w:ascii="Verdana" w:hAnsi="Verdana"/>
        </w:rPr>
        <w:t>, totalfaktor</w:t>
      </w:r>
      <w:r w:rsidRPr="00DE69C9">
        <w:rPr>
          <w:rFonts w:ascii="Verdana" w:hAnsi="Verdana"/>
        </w:rPr>
        <w:t xml:space="preserve">produktivitet fra humankapital samt andre mulige bidrag fra uddannelsesinvesteringer til en nations vækstrater. Selvom forfatterne understreger både metodologiske og konceptuelle problemer i litteraturen, konkluderer de </w:t>
      </w:r>
      <w:r w:rsidRPr="00DE69C9">
        <w:rPr>
          <w:rFonts w:ascii="Verdana" w:hAnsi="Verdana"/>
          <w:i/>
        </w:rPr>
        <w:t>”</w:t>
      </w:r>
      <w:proofErr w:type="spellStart"/>
      <w:r w:rsidRPr="00DE69C9">
        <w:rPr>
          <w:rFonts w:ascii="Verdana" w:eastAsia="Times New Roman" w:hAnsi="Verdana" w:cs="Times New Roman"/>
          <w:i/>
          <w:lang w:eastAsia="da-DK"/>
        </w:rPr>
        <w:t>Taken</w:t>
      </w:r>
      <w:proofErr w:type="spellEnd"/>
      <w:r w:rsidRPr="00DE69C9">
        <w:rPr>
          <w:rFonts w:ascii="Verdana" w:eastAsia="Times New Roman" w:hAnsi="Verdana" w:cs="Times New Roman"/>
          <w:i/>
          <w:lang w:eastAsia="da-DK"/>
        </w:rPr>
        <w:t xml:space="preserve"> as a </w:t>
      </w:r>
      <w:proofErr w:type="spellStart"/>
      <w:r w:rsidRPr="00DE69C9">
        <w:rPr>
          <w:rFonts w:ascii="Verdana" w:eastAsia="Times New Roman" w:hAnsi="Verdana" w:cs="Times New Roman"/>
          <w:i/>
          <w:lang w:eastAsia="da-DK"/>
        </w:rPr>
        <w:t>whole</w:t>
      </w:r>
      <w:proofErr w:type="spellEnd"/>
      <w:r w:rsidRPr="00DE69C9">
        <w:rPr>
          <w:rFonts w:ascii="Verdana" w:eastAsia="Times New Roman" w:hAnsi="Verdana" w:cs="Times New Roman"/>
          <w:i/>
          <w:lang w:eastAsia="da-DK"/>
        </w:rPr>
        <w:t xml:space="preserve"> </w:t>
      </w:r>
      <w:proofErr w:type="spellStart"/>
      <w:r w:rsidRPr="00DE69C9">
        <w:rPr>
          <w:rFonts w:ascii="Verdana" w:eastAsia="Times New Roman" w:hAnsi="Verdana" w:cs="Times New Roman"/>
          <w:i/>
          <w:lang w:eastAsia="da-DK"/>
        </w:rPr>
        <w:t>we</w:t>
      </w:r>
      <w:proofErr w:type="spellEnd"/>
      <w:r w:rsidRPr="00DE69C9">
        <w:rPr>
          <w:rFonts w:ascii="Verdana" w:eastAsia="Times New Roman" w:hAnsi="Verdana" w:cs="Times New Roman"/>
          <w:i/>
          <w:lang w:eastAsia="da-DK"/>
        </w:rPr>
        <w:t xml:space="preserve"> feel </w:t>
      </w:r>
      <w:proofErr w:type="spellStart"/>
      <w:r w:rsidRPr="00DE69C9">
        <w:rPr>
          <w:rFonts w:ascii="Verdana" w:eastAsia="Times New Roman" w:hAnsi="Verdana" w:cs="Times New Roman"/>
          <w:i/>
          <w:lang w:eastAsia="da-DK"/>
        </w:rPr>
        <w:t>confident</w:t>
      </w:r>
      <w:proofErr w:type="spellEnd"/>
      <w:r w:rsidRPr="00DE69C9">
        <w:rPr>
          <w:rFonts w:ascii="Verdana" w:eastAsia="Times New Roman" w:hAnsi="Verdana" w:cs="Times New Roman"/>
          <w:i/>
          <w:lang w:eastAsia="da-DK"/>
        </w:rPr>
        <w:t xml:space="preserve"> </w:t>
      </w:r>
      <w:proofErr w:type="spellStart"/>
      <w:r w:rsidRPr="00DE69C9">
        <w:rPr>
          <w:rFonts w:ascii="Verdana" w:eastAsia="Times New Roman" w:hAnsi="Verdana" w:cs="Times New Roman"/>
          <w:i/>
          <w:lang w:eastAsia="da-DK"/>
        </w:rPr>
        <w:t>that</w:t>
      </w:r>
      <w:proofErr w:type="spellEnd"/>
      <w:r w:rsidRPr="00DE69C9">
        <w:rPr>
          <w:rFonts w:ascii="Verdana" w:eastAsia="Times New Roman" w:hAnsi="Verdana" w:cs="Times New Roman"/>
          <w:i/>
          <w:lang w:eastAsia="da-DK"/>
        </w:rPr>
        <w:t xml:space="preserve"> </w:t>
      </w:r>
      <w:proofErr w:type="spellStart"/>
      <w:r w:rsidRPr="00DE69C9">
        <w:rPr>
          <w:rFonts w:ascii="Verdana" w:eastAsia="Times New Roman" w:hAnsi="Verdana" w:cs="Times New Roman"/>
          <w:i/>
          <w:lang w:eastAsia="da-DK"/>
        </w:rPr>
        <w:t>there</w:t>
      </w:r>
      <w:proofErr w:type="spellEnd"/>
      <w:r w:rsidRPr="00DE69C9">
        <w:rPr>
          <w:rFonts w:ascii="Verdana" w:eastAsia="Times New Roman" w:hAnsi="Verdana" w:cs="Times New Roman"/>
          <w:i/>
          <w:lang w:eastAsia="da-DK"/>
        </w:rPr>
        <w:t xml:space="preserve"> </w:t>
      </w:r>
      <w:proofErr w:type="spellStart"/>
      <w:r w:rsidRPr="00DE69C9">
        <w:rPr>
          <w:rFonts w:ascii="Verdana" w:eastAsia="Times New Roman" w:hAnsi="Verdana" w:cs="Times New Roman"/>
          <w:i/>
          <w:lang w:eastAsia="da-DK"/>
        </w:rPr>
        <w:t>are</w:t>
      </w:r>
      <w:proofErr w:type="spellEnd"/>
      <w:r w:rsidRPr="00DE69C9">
        <w:rPr>
          <w:rFonts w:ascii="Verdana" w:eastAsia="Times New Roman" w:hAnsi="Verdana" w:cs="Times New Roman"/>
          <w:i/>
          <w:lang w:eastAsia="da-DK"/>
        </w:rPr>
        <w:t xml:space="preserve"> </w:t>
      </w:r>
      <w:proofErr w:type="spellStart"/>
      <w:r w:rsidRPr="00DE69C9">
        <w:rPr>
          <w:rFonts w:ascii="Verdana" w:eastAsia="Times New Roman" w:hAnsi="Verdana" w:cs="Times New Roman"/>
          <w:i/>
          <w:lang w:eastAsia="da-DK"/>
        </w:rPr>
        <w:t>important</w:t>
      </w:r>
      <w:proofErr w:type="spellEnd"/>
      <w:r w:rsidRPr="00DE69C9">
        <w:rPr>
          <w:rFonts w:ascii="Verdana" w:eastAsia="Times New Roman" w:hAnsi="Verdana" w:cs="Times New Roman"/>
          <w:i/>
          <w:lang w:eastAsia="da-DK"/>
        </w:rPr>
        <w:t xml:space="preserve"> </w:t>
      </w:r>
      <w:proofErr w:type="spellStart"/>
      <w:r w:rsidRPr="00DE69C9">
        <w:rPr>
          <w:rFonts w:ascii="Verdana" w:eastAsia="Times New Roman" w:hAnsi="Verdana" w:cs="Times New Roman"/>
          <w:i/>
          <w:lang w:eastAsia="da-DK"/>
        </w:rPr>
        <w:t>effects</w:t>
      </w:r>
      <w:proofErr w:type="spellEnd"/>
      <w:r w:rsidRPr="00DE69C9">
        <w:rPr>
          <w:rFonts w:ascii="Verdana" w:eastAsia="Times New Roman" w:hAnsi="Verdana" w:cs="Times New Roman"/>
          <w:i/>
          <w:lang w:eastAsia="da-DK"/>
        </w:rPr>
        <w:t xml:space="preserve"> of </w:t>
      </w:r>
      <w:proofErr w:type="spellStart"/>
      <w:r w:rsidRPr="00DE69C9">
        <w:rPr>
          <w:rFonts w:ascii="Verdana" w:eastAsia="Times New Roman" w:hAnsi="Verdana" w:cs="Times New Roman"/>
          <w:i/>
          <w:lang w:eastAsia="da-DK"/>
        </w:rPr>
        <w:t>education</w:t>
      </w:r>
      <w:proofErr w:type="spellEnd"/>
      <w:r w:rsidRPr="00DE69C9">
        <w:rPr>
          <w:rFonts w:ascii="Verdana" w:eastAsia="Times New Roman" w:hAnsi="Verdana" w:cs="Times New Roman"/>
          <w:i/>
          <w:lang w:eastAsia="da-DK"/>
        </w:rPr>
        <w:t xml:space="preserve"> on </w:t>
      </w:r>
      <w:proofErr w:type="spellStart"/>
      <w:r w:rsidRPr="00DE69C9">
        <w:rPr>
          <w:rFonts w:ascii="Verdana" w:eastAsia="Times New Roman" w:hAnsi="Verdana" w:cs="Times New Roman"/>
          <w:i/>
          <w:lang w:eastAsia="da-DK"/>
        </w:rPr>
        <w:t>growth</w:t>
      </w:r>
      <w:proofErr w:type="spellEnd"/>
      <w:r w:rsidRPr="00DE69C9">
        <w:rPr>
          <w:rFonts w:ascii="Verdana" w:hAnsi="Verdana"/>
          <w:i/>
        </w:rPr>
        <w:t>“</w:t>
      </w:r>
      <w:r>
        <w:rPr>
          <w:rFonts w:ascii="Verdana" w:hAnsi="Verdana"/>
          <w:i/>
        </w:rPr>
        <w:t xml:space="preserve"> </w:t>
      </w:r>
      <w:sdt>
        <w:sdtPr>
          <w:rPr>
            <w:rFonts w:ascii="Verdana" w:hAnsi="Verdana"/>
            <w:i/>
          </w:rPr>
          <w:id w:val="1240910128"/>
          <w:citation/>
        </w:sdtPr>
        <w:sdtEndPr/>
        <w:sdtContent>
          <w:r>
            <w:rPr>
              <w:rFonts w:ascii="Verdana" w:hAnsi="Verdana"/>
              <w:i/>
            </w:rPr>
            <w:fldChar w:fldCharType="begin"/>
          </w:r>
          <w:r>
            <w:rPr>
              <w:rFonts w:ascii="Verdana" w:hAnsi="Verdana"/>
              <w:i/>
            </w:rPr>
            <w:instrText xml:space="preserve"> CITATION Sia03 \l 1030 </w:instrText>
          </w:r>
          <w:r>
            <w:rPr>
              <w:rFonts w:ascii="Verdana" w:hAnsi="Verdana"/>
              <w:i/>
            </w:rPr>
            <w:fldChar w:fldCharType="separate"/>
          </w:r>
          <w:r w:rsidR="006A0FEA" w:rsidRPr="006A0FEA">
            <w:rPr>
              <w:rFonts w:ascii="Verdana" w:hAnsi="Verdana"/>
              <w:noProof/>
            </w:rPr>
            <w:t>(Sianesi &amp; Reenen, 2003)</w:t>
          </w:r>
          <w:r>
            <w:rPr>
              <w:rFonts w:ascii="Verdana" w:hAnsi="Verdana"/>
              <w:i/>
            </w:rPr>
            <w:fldChar w:fldCharType="end"/>
          </w:r>
        </w:sdtContent>
      </w:sdt>
      <w:r>
        <w:rPr>
          <w:rFonts w:ascii="Verdana" w:hAnsi="Verdana"/>
          <w:i/>
        </w:rPr>
        <w:t>.</w:t>
      </w:r>
    </w:p>
    <w:p w14:paraId="718430D6" w14:textId="3983A02C" w:rsidR="00C73A61" w:rsidRPr="00DE69C9" w:rsidRDefault="00C73A61" w:rsidP="00C73A61">
      <w:pPr>
        <w:rPr>
          <w:rFonts w:ascii="Verdana" w:hAnsi="Verdana"/>
          <w:i/>
        </w:rPr>
      </w:pPr>
      <w:r>
        <w:rPr>
          <w:rFonts w:ascii="Verdana" w:hAnsi="Verdana"/>
        </w:rPr>
        <w:t xml:space="preserve">En anden tilgang anvendes af </w:t>
      </w:r>
      <w:proofErr w:type="spellStart"/>
      <w:r>
        <w:rPr>
          <w:rFonts w:ascii="Verdana" w:hAnsi="Verdana"/>
        </w:rPr>
        <w:t>Bassanini</w:t>
      </w:r>
      <w:proofErr w:type="spellEnd"/>
      <w:r>
        <w:rPr>
          <w:rFonts w:ascii="Verdana" w:hAnsi="Verdana"/>
        </w:rPr>
        <w:t xml:space="preserve"> og </w:t>
      </w:r>
      <w:proofErr w:type="spellStart"/>
      <w:r>
        <w:rPr>
          <w:rFonts w:ascii="Verdana" w:hAnsi="Verdana"/>
        </w:rPr>
        <w:t>Scarpetta</w:t>
      </w:r>
      <w:proofErr w:type="spellEnd"/>
      <w:r>
        <w:rPr>
          <w:rFonts w:ascii="Verdana" w:hAnsi="Verdana"/>
        </w:rPr>
        <w:t xml:space="preserve"> i </w:t>
      </w:r>
      <w:r w:rsidRPr="00FD2BFB">
        <w:rPr>
          <w:rFonts w:ascii="Verdana" w:hAnsi="Verdana"/>
          <w:i/>
        </w:rPr>
        <w:t xml:space="preserve">‘The </w:t>
      </w:r>
      <w:proofErr w:type="spellStart"/>
      <w:r w:rsidRPr="00FD2BFB">
        <w:rPr>
          <w:rFonts w:ascii="Verdana" w:hAnsi="Verdana"/>
          <w:i/>
        </w:rPr>
        <w:t>Driving</w:t>
      </w:r>
      <w:proofErr w:type="spellEnd"/>
      <w:r w:rsidRPr="00FD2BFB">
        <w:rPr>
          <w:rFonts w:ascii="Verdana" w:hAnsi="Verdana"/>
          <w:i/>
        </w:rPr>
        <w:t xml:space="preserve"> Forces of </w:t>
      </w:r>
      <w:proofErr w:type="spellStart"/>
      <w:r w:rsidRPr="00FD2BFB">
        <w:rPr>
          <w:rFonts w:ascii="Verdana" w:hAnsi="Verdana"/>
          <w:i/>
        </w:rPr>
        <w:t>Economic</w:t>
      </w:r>
      <w:proofErr w:type="spellEnd"/>
      <w:r w:rsidRPr="00FD2BFB">
        <w:rPr>
          <w:rFonts w:ascii="Verdana" w:hAnsi="Verdana"/>
          <w:i/>
        </w:rPr>
        <w:t xml:space="preserve"> Growth: Panel data </w:t>
      </w:r>
      <w:proofErr w:type="spellStart"/>
      <w:r w:rsidRPr="00FD2BFB">
        <w:rPr>
          <w:rFonts w:ascii="Verdana" w:hAnsi="Verdana"/>
          <w:i/>
        </w:rPr>
        <w:t>evidence</w:t>
      </w:r>
      <w:proofErr w:type="spellEnd"/>
      <w:r w:rsidRPr="00FD2BFB">
        <w:rPr>
          <w:rFonts w:ascii="Verdana" w:hAnsi="Verdana"/>
          <w:i/>
        </w:rPr>
        <w:t xml:space="preserve"> for the OECD </w:t>
      </w:r>
      <w:proofErr w:type="spellStart"/>
      <w:r w:rsidRPr="00FD2BFB">
        <w:rPr>
          <w:rFonts w:ascii="Verdana" w:hAnsi="Verdana"/>
          <w:i/>
        </w:rPr>
        <w:t>Countries</w:t>
      </w:r>
      <w:proofErr w:type="spellEnd"/>
      <w:r w:rsidRPr="00FD2BFB">
        <w:rPr>
          <w:rFonts w:ascii="Verdana" w:hAnsi="Verdana"/>
          <w:i/>
        </w:rPr>
        <w:t>’</w:t>
      </w:r>
      <w:r>
        <w:rPr>
          <w:rFonts w:ascii="Verdana" w:hAnsi="Verdana"/>
        </w:rPr>
        <w:t xml:space="preserve"> </w:t>
      </w:r>
      <w:r w:rsidRPr="00FD2BFB">
        <w:rPr>
          <w:rFonts w:ascii="Verdana" w:hAnsi="Verdana"/>
        </w:rPr>
        <w:t>fra 2001</w:t>
      </w:r>
      <w:r w:rsidRPr="00DE69C9">
        <w:rPr>
          <w:rFonts w:ascii="Verdana" w:eastAsia="Times New Roman" w:hAnsi="Verdana" w:cs="Times New Roman"/>
          <w:lang w:eastAsia="da-DK"/>
        </w:rPr>
        <w:t xml:space="preserve">, som i </w:t>
      </w:r>
      <w:r w:rsidRPr="00DE69C9">
        <w:rPr>
          <w:rFonts w:ascii="Verdana" w:eastAsia="Times New Roman" w:hAnsi="Verdana" w:cs="Times New Roman"/>
          <w:lang w:eastAsia="da-DK"/>
        </w:rPr>
        <w:lastRenderedPageBreak/>
        <w:t xml:space="preserve">et omfattende paneldatastudie undersøger </w:t>
      </w:r>
      <w:r>
        <w:rPr>
          <w:rFonts w:ascii="Verdana" w:eastAsia="Times New Roman" w:hAnsi="Verdana" w:cs="Times New Roman"/>
          <w:lang w:eastAsia="da-DK"/>
        </w:rPr>
        <w:t xml:space="preserve">de </w:t>
      </w:r>
      <w:r w:rsidRPr="00DE69C9">
        <w:rPr>
          <w:rFonts w:ascii="Verdana" w:eastAsia="Times New Roman" w:hAnsi="Verdana" w:cs="Times New Roman"/>
          <w:lang w:eastAsia="da-DK"/>
        </w:rPr>
        <w:t>drivende faktorer for økonomisk vækst. De finder</w:t>
      </w:r>
      <w:r w:rsidR="00A22772">
        <w:rPr>
          <w:rFonts w:ascii="Verdana" w:eastAsia="Times New Roman" w:hAnsi="Verdana" w:cs="Times New Roman"/>
          <w:lang w:eastAsia="da-DK"/>
        </w:rPr>
        <w:t>,</w:t>
      </w:r>
      <w:r w:rsidRPr="00DE69C9">
        <w:rPr>
          <w:rFonts w:ascii="Verdana" w:eastAsia="Times New Roman" w:hAnsi="Verdana" w:cs="Times New Roman"/>
          <w:lang w:eastAsia="da-DK"/>
        </w:rPr>
        <w:t xml:space="preserve"> </w:t>
      </w:r>
      <w:r>
        <w:rPr>
          <w:rFonts w:ascii="Verdana" w:eastAsia="Times New Roman" w:hAnsi="Verdana" w:cs="Times New Roman"/>
          <w:lang w:eastAsia="da-DK"/>
        </w:rPr>
        <w:t>at der for OECD-landene</w:t>
      </w:r>
      <w:r w:rsidRPr="00DE69C9">
        <w:rPr>
          <w:rFonts w:ascii="Verdana" w:eastAsia="Times New Roman" w:hAnsi="Verdana" w:cs="Times New Roman"/>
          <w:lang w:eastAsia="da-DK"/>
        </w:rPr>
        <w:t xml:space="preserve"> </w:t>
      </w:r>
      <w:r>
        <w:rPr>
          <w:rFonts w:ascii="Verdana" w:eastAsia="Times New Roman" w:hAnsi="Verdana" w:cs="Times New Roman"/>
          <w:lang w:eastAsia="da-DK"/>
        </w:rPr>
        <w:t xml:space="preserve">er en direkte sammenhæng mellem befolkningens samlede </w:t>
      </w:r>
      <w:r w:rsidRPr="00DE69C9">
        <w:rPr>
          <w:rFonts w:ascii="Verdana" w:eastAsia="Times New Roman" w:hAnsi="Verdana" w:cs="Times New Roman"/>
          <w:lang w:eastAsia="da-DK"/>
        </w:rPr>
        <w:t>skolegang</w:t>
      </w:r>
      <w:r>
        <w:rPr>
          <w:rFonts w:ascii="Verdana" w:eastAsia="Times New Roman" w:hAnsi="Verdana" w:cs="Times New Roman"/>
          <w:lang w:eastAsia="da-DK"/>
        </w:rPr>
        <w:t xml:space="preserve"> og den langsigtede økonomiske velstand. Forfatterne finder</w:t>
      </w:r>
      <w:r w:rsidR="00A22772">
        <w:rPr>
          <w:rFonts w:ascii="Verdana" w:eastAsia="Times New Roman" w:hAnsi="Verdana" w:cs="Times New Roman"/>
          <w:lang w:eastAsia="da-DK"/>
        </w:rPr>
        <w:t xml:space="preserve"> yderligere</w:t>
      </w:r>
      <w:r>
        <w:rPr>
          <w:rFonts w:ascii="Verdana" w:eastAsia="Times New Roman" w:hAnsi="Verdana" w:cs="Times New Roman"/>
          <w:lang w:eastAsia="da-DK"/>
        </w:rPr>
        <w:t xml:space="preserve">, at en forøgelse af den gennemsnitlige skolegang i gennemsnit fører til, at BNP pr. person </w:t>
      </w:r>
      <w:r w:rsidRPr="00DE69C9">
        <w:rPr>
          <w:rFonts w:ascii="Verdana" w:eastAsia="Times New Roman" w:hAnsi="Verdana" w:cs="Times New Roman"/>
          <w:lang w:eastAsia="da-DK"/>
        </w:rPr>
        <w:t>hæve</w:t>
      </w:r>
      <w:r>
        <w:rPr>
          <w:rFonts w:ascii="Verdana" w:eastAsia="Times New Roman" w:hAnsi="Verdana" w:cs="Times New Roman"/>
          <w:lang w:eastAsia="da-DK"/>
        </w:rPr>
        <w:t>s</w:t>
      </w:r>
      <w:r w:rsidRPr="00DE69C9">
        <w:rPr>
          <w:rFonts w:ascii="Verdana" w:eastAsia="Times New Roman" w:hAnsi="Verdana" w:cs="Times New Roman"/>
          <w:lang w:eastAsia="da-DK"/>
        </w:rPr>
        <w:t xml:space="preserve"> med ca. </w:t>
      </w:r>
      <w:r>
        <w:rPr>
          <w:rFonts w:ascii="Verdana" w:eastAsia="Times New Roman" w:hAnsi="Verdana" w:cs="Times New Roman"/>
          <w:lang w:eastAsia="da-DK"/>
        </w:rPr>
        <w:t xml:space="preserve">4-7 </w:t>
      </w:r>
      <w:r w:rsidRPr="00DE69C9">
        <w:rPr>
          <w:rFonts w:ascii="Verdana" w:eastAsia="Times New Roman" w:hAnsi="Verdana" w:cs="Times New Roman"/>
          <w:lang w:eastAsia="da-DK"/>
        </w:rPr>
        <w:t xml:space="preserve">pct. </w:t>
      </w:r>
      <w:sdt>
        <w:sdtPr>
          <w:rPr>
            <w:rFonts w:ascii="Verdana" w:eastAsia="Times New Roman" w:hAnsi="Verdana" w:cs="Times New Roman"/>
            <w:lang w:eastAsia="da-DK"/>
          </w:rPr>
          <w:id w:val="-238639855"/>
          <w:citation/>
        </w:sdtPr>
        <w:sdtEndPr/>
        <w:sdtContent>
          <w:r>
            <w:rPr>
              <w:rFonts w:ascii="Verdana" w:eastAsia="Times New Roman" w:hAnsi="Verdana" w:cs="Times New Roman"/>
              <w:lang w:eastAsia="da-DK"/>
            </w:rPr>
            <w:fldChar w:fldCharType="begin"/>
          </w:r>
          <w:r>
            <w:rPr>
              <w:rFonts w:ascii="Verdana" w:eastAsia="Times New Roman" w:hAnsi="Verdana" w:cs="Times New Roman"/>
              <w:lang w:eastAsia="da-DK"/>
            </w:rPr>
            <w:instrText xml:space="preserve"> CITATION Bas01 \l 1030 </w:instrText>
          </w:r>
          <w:r>
            <w:rPr>
              <w:rFonts w:ascii="Verdana" w:eastAsia="Times New Roman" w:hAnsi="Verdana" w:cs="Times New Roman"/>
              <w:lang w:eastAsia="da-DK"/>
            </w:rPr>
            <w:fldChar w:fldCharType="separate"/>
          </w:r>
          <w:r w:rsidR="006A0FEA" w:rsidRPr="006A0FEA">
            <w:rPr>
              <w:rFonts w:ascii="Verdana" w:eastAsia="Times New Roman" w:hAnsi="Verdana" w:cs="Times New Roman"/>
              <w:noProof/>
              <w:lang w:eastAsia="da-DK"/>
            </w:rPr>
            <w:t>(Bassanini &amp; Scarpetta, 2001)</w:t>
          </w:r>
          <w:r>
            <w:rPr>
              <w:rFonts w:ascii="Verdana" w:eastAsia="Times New Roman" w:hAnsi="Verdana" w:cs="Times New Roman"/>
              <w:lang w:eastAsia="da-DK"/>
            </w:rPr>
            <w:fldChar w:fldCharType="end"/>
          </w:r>
        </w:sdtContent>
      </w:sdt>
      <w:r w:rsidRPr="00DE69C9">
        <w:rPr>
          <w:rFonts w:ascii="Verdana" w:eastAsia="Times New Roman" w:hAnsi="Verdana" w:cs="Times New Roman"/>
          <w:lang w:eastAsia="da-DK"/>
        </w:rPr>
        <w:t xml:space="preserve">. </w:t>
      </w:r>
    </w:p>
    <w:p w14:paraId="77527787" w14:textId="0310AD9B" w:rsidR="00C73A61" w:rsidRDefault="00C73A61" w:rsidP="00C73A61">
      <w:pPr>
        <w:rPr>
          <w:rFonts w:ascii="Verdana" w:hAnsi="Verdana"/>
        </w:rPr>
      </w:pPr>
      <w:r>
        <w:rPr>
          <w:rFonts w:ascii="Verdana" w:hAnsi="Verdana"/>
        </w:rPr>
        <w:t xml:space="preserve">Den tilgang, som </w:t>
      </w:r>
      <w:proofErr w:type="spellStart"/>
      <w:r>
        <w:rPr>
          <w:rFonts w:ascii="Verdana" w:hAnsi="Verdana"/>
        </w:rPr>
        <w:t>Bassanini</w:t>
      </w:r>
      <w:proofErr w:type="spellEnd"/>
      <w:r>
        <w:rPr>
          <w:rFonts w:ascii="Verdana" w:hAnsi="Verdana"/>
        </w:rPr>
        <w:t xml:space="preserve"> og </w:t>
      </w:r>
      <w:proofErr w:type="spellStart"/>
      <w:r>
        <w:rPr>
          <w:rFonts w:ascii="Verdana" w:hAnsi="Verdana"/>
        </w:rPr>
        <w:t>Scarpetta</w:t>
      </w:r>
      <w:proofErr w:type="spellEnd"/>
      <w:r>
        <w:rPr>
          <w:rFonts w:ascii="Verdana" w:hAnsi="Verdana"/>
        </w:rPr>
        <w:t xml:space="preserve"> anvender, nemlig at måle den aggregerede kvantitet af uddannelse, er meget typisk for studier af uddannelseseffekt på makroøkonomien. Det anfører bl.a. </w:t>
      </w:r>
      <w:proofErr w:type="spellStart"/>
      <w:r>
        <w:rPr>
          <w:rFonts w:ascii="Verdana" w:hAnsi="Verdana"/>
        </w:rPr>
        <w:t>Hanushek</w:t>
      </w:r>
      <w:proofErr w:type="spellEnd"/>
      <w:r>
        <w:rPr>
          <w:rFonts w:ascii="Verdana" w:hAnsi="Verdana"/>
        </w:rPr>
        <w:t xml:space="preserve"> og </w:t>
      </w:r>
      <w:proofErr w:type="spellStart"/>
      <w:r>
        <w:rPr>
          <w:rFonts w:ascii="Verdana" w:hAnsi="Verdana"/>
        </w:rPr>
        <w:t>Wössmann</w:t>
      </w:r>
      <w:proofErr w:type="spellEnd"/>
      <w:r>
        <w:rPr>
          <w:rFonts w:ascii="Verdana" w:hAnsi="Verdana"/>
        </w:rPr>
        <w:t xml:space="preserve"> i en artikel fra 2010, hvor de skriver:</w:t>
      </w:r>
    </w:p>
    <w:p w14:paraId="31C06490" w14:textId="2E827008" w:rsidR="00C73A61" w:rsidRPr="00642366" w:rsidRDefault="00C73A61" w:rsidP="004C0169">
      <w:pPr>
        <w:rPr>
          <w:rFonts w:ascii="Verdana" w:hAnsi="Verdana"/>
          <w:i/>
        </w:rPr>
      </w:pPr>
      <w:r w:rsidRPr="00642366">
        <w:rPr>
          <w:rFonts w:ascii="Verdana" w:hAnsi="Verdana"/>
          <w:i/>
          <w:lang w:val="en-US"/>
        </w:rPr>
        <w:t>“The majority of the macroeconomic literature on economic returns to education employs measures of the quantity of schooling. The most common measure is years of schooling, averaged across the working-age population.”</w:t>
      </w:r>
      <w:sdt>
        <w:sdtPr>
          <w:rPr>
            <w:rFonts w:ascii="Verdana" w:hAnsi="Verdana"/>
            <w:i/>
            <w:lang w:val="en-US"/>
          </w:rPr>
          <w:id w:val="1244454239"/>
          <w:citation/>
        </w:sdtPr>
        <w:sdtEndPr/>
        <w:sdtContent>
          <w:r>
            <w:rPr>
              <w:rFonts w:ascii="Verdana" w:hAnsi="Verdana"/>
              <w:i/>
              <w:lang w:val="en-US"/>
            </w:rPr>
            <w:fldChar w:fldCharType="begin"/>
          </w:r>
          <w:r w:rsidRPr="00642366">
            <w:rPr>
              <w:rFonts w:ascii="Verdana" w:hAnsi="Verdana"/>
              <w:i/>
              <w:lang w:val="en-US"/>
            </w:rPr>
            <w:instrText xml:space="preserve"> CITATION Han10 \l 1030 </w:instrText>
          </w:r>
          <w:r>
            <w:rPr>
              <w:rFonts w:ascii="Verdana" w:hAnsi="Verdana"/>
              <w:i/>
              <w:lang w:val="en-US"/>
            </w:rPr>
            <w:fldChar w:fldCharType="separate"/>
          </w:r>
          <w:r w:rsidR="006A0FEA">
            <w:rPr>
              <w:rFonts w:ascii="Verdana" w:hAnsi="Verdana"/>
              <w:i/>
              <w:noProof/>
              <w:lang w:val="en-US"/>
            </w:rPr>
            <w:t xml:space="preserve"> </w:t>
          </w:r>
          <w:r w:rsidR="006A0FEA" w:rsidRPr="00550573">
            <w:rPr>
              <w:rFonts w:ascii="Verdana" w:hAnsi="Verdana"/>
              <w:noProof/>
            </w:rPr>
            <w:t>(Hanushek &amp; Wössmann, 2010)</w:t>
          </w:r>
          <w:r>
            <w:rPr>
              <w:rFonts w:ascii="Verdana" w:hAnsi="Verdana"/>
              <w:i/>
              <w:lang w:val="en-US"/>
            </w:rPr>
            <w:fldChar w:fldCharType="end"/>
          </w:r>
        </w:sdtContent>
      </w:sdt>
      <w:r w:rsidRPr="00642366">
        <w:rPr>
          <w:rFonts w:ascii="Verdana" w:hAnsi="Verdana"/>
          <w:i/>
        </w:rPr>
        <w:t>.</w:t>
      </w:r>
    </w:p>
    <w:p w14:paraId="3CDEBF28" w14:textId="77777777" w:rsidR="0032169C" w:rsidRDefault="00C73A61" w:rsidP="00C73A61">
      <w:pPr>
        <w:rPr>
          <w:rFonts w:ascii="Verdana" w:hAnsi="Verdana"/>
        </w:rPr>
      </w:pPr>
      <w:r w:rsidRPr="00642366">
        <w:rPr>
          <w:rFonts w:ascii="Verdana" w:hAnsi="Verdana"/>
        </w:rPr>
        <w:t>Forfatterne a</w:t>
      </w:r>
      <w:r>
        <w:rPr>
          <w:rFonts w:ascii="Verdana" w:hAnsi="Verdana"/>
        </w:rPr>
        <w:t>r</w:t>
      </w:r>
      <w:r w:rsidRPr="00642366">
        <w:rPr>
          <w:rFonts w:ascii="Verdana" w:hAnsi="Verdana"/>
        </w:rPr>
        <w:t xml:space="preserve">gumenterer for, at det er (mindst) ligeså afgørende at se </w:t>
      </w:r>
      <w:r>
        <w:rPr>
          <w:rFonts w:ascii="Verdana" w:hAnsi="Verdana"/>
        </w:rPr>
        <w:t xml:space="preserve">på kvaliteten af uddannelse, og altså ikke bare mængden af uddannelse. Forfatterne konkluderer yderligere, at effekten af kvaliteten af uddannelse er stigende i lande, hvor der er veludviklede institutionelle rammer omkring økonomien og i samfund, der er afhængige af samhandel. Dette taler for, at vestlige, små og eksportafhængige lande, som Danmark, i særlig grad kan siges at afhænge af kvaliteten i uddannelsessystemet. </w:t>
      </w:r>
    </w:p>
    <w:p w14:paraId="48582903" w14:textId="0868C6F4" w:rsidR="00C73A61" w:rsidRDefault="00C73A61" w:rsidP="00C73A61">
      <w:pPr>
        <w:rPr>
          <w:rFonts w:ascii="Verdana" w:hAnsi="Verdana"/>
        </w:rPr>
      </w:pPr>
      <w:r>
        <w:rPr>
          <w:rFonts w:ascii="Verdana" w:hAnsi="Verdana"/>
        </w:rPr>
        <w:t xml:space="preserve">Det næste naturlige spørgsmål er, hvorvidt kvaliteten påvirkes af omkostningsniveauet. Spørgsmålet har været genstand for megen forskning over de seneste årtier. Generelt finder man ikke belæg for, at øgede bevillinger, i sig selv, øger uddannelseskvaliteten på tværs af alle lande. Eksempelvis finder </w:t>
      </w:r>
      <w:proofErr w:type="spellStart"/>
      <w:r>
        <w:rPr>
          <w:rFonts w:ascii="Verdana" w:hAnsi="Verdana"/>
        </w:rPr>
        <w:t>Emiliana</w:t>
      </w:r>
      <w:proofErr w:type="spellEnd"/>
      <w:r>
        <w:rPr>
          <w:rFonts w:ascii="Verdana" w:hAnsi="Verdana"/>
        </w:rPr>
        <w:t xml:space="preserve"> Vegas og Chelsea </w:t>
      </w:r>
      <w:proofErr w:type="spellStart"/>
      <w:r>
        <w:rPr>
          <w:rFonts w:ascii="Verdana" w:hAnsi="Verdana"/>
        </w:rPr>
        <w:t>Coffin</w:t>
      </w:r>
      <w:proofErr w:type="spellEnd"/>
      <w:r w:rsidR="0032169C">
        <w:rPr>
          <w:rFonts w:ascii="Verdana" w:hAnsi="Verdana"/>
        </w:rPr>
        <w:t xml:space="preserve"> i et nyere studie</w:t>
      </w:r>
      <w:r>
        <w:rPr>
          <w:rFonts w:ascii="Verdana" w:hAnsi="Verdana"/>
        </w:rPr>
        <w:t xml:space="preserve">, at der findes en positiv sammenhæng mellem udgiftsniveauer til folkeskolen og den uddannelseskvalitet som folkeskolen leverer, men de finder også, at denne sammenhæng kun er signifikant op til et vist niveau, hvorefter der ikke kan påvises nogen sammenhæng </w:t>
      </w:r>
      <w:sdt>
        <w:sdtPr>
          <w:rPr>
            <w:rFonts w:ascii="Verdana" w:hAnsi="Verdana"/>
          </w:rPr>
          <w:id w:val="101383717"/>
          <w:citation/>
        </w:sdtPr>
        <w:sdtEndPr/>
        <w:sdtContent>
          <w:r>
            <w:rPr>
              <w:rFonts w:ascii="Verdana" w:hAnsi="Verdana"/>
            </w:rPr>
            <w:fldChar w:fldCharType="begin"/>
          </w:r>
          <w:r>
            <w:rPr>
              <w:rFonts w:ascii="Verdana" w:hAnsi="Verdana"/>
            </w:rPr>
            <w:instrText xml:space="preserve">CITATION Veg15 \l 1030 </w:instrText>
          </w:r>
          <w:r>
            <w:rPr>
              <w:rFonts w:ascii="Verdana" w:hAnsi="Verdana"/>
            </w:rPr>
            <w:fldChar w:fldCharType="separate"/>
          </w:r>
          <w:r w:rsidR="006A0FEA" w:rsidRPr="006A0FEA">
            <w:rPr>
              <w:rFonts w:ascii="Verdana" w:hAnsi="Verdana"/>
              <w:noProof/>
            </w:rPr>
            <w:t>(Vegas &amp; Coffin, 2015)</w:t>
          </w:r>
          <w:r>
            <w:rPr>
              <w:rFonts w:ascii="Verdana" w:hAnsi="Verdana"/>
            </w:rPr>
            <w:fldChar w:fldCharType="end"/>
          </w:r>
        </w:sdtContent>
      </w:sdt>
      <w:r>
        <w:rPr>
          <w:rFonts w:ascii="Verdana" w:hAnsi="Verdana"/>
        </w:rPr>
        <w:t xml:space="preserve">. Mere eller mindre samme konklusion når </w:t>
      </w:r>
      <w:proofErr w:type="spellStart"/>
      <w:r>
        <w:rPr>
          <w:rFonts w:ascii="Verdana" w:hAnsi="Verdana"/>
        </w:rPr>
        <w:t>Hanushek</w:t>
      </w:r>
      <w:proofErr w:type="spellEnd"/>
      <w:r>
        <w:rPr>
          <w:rFonts w:ascii="Verdana" w:hAnsi="Verdana"/>
        </w:rPr>
        <w:t xml:space="preserve"> og </w:t>
      </w:r>
      <w:proofErr w:type="spellStart"/>
      <w:r>
        <w:rPr>
          <w:rFonts w:ascii="Verdana" w:hAnsi="Verdana"/>
        </w:rPr>
        <w:t>Wössmann</w:t>
      </w:r>
      <w:proofErr w:type="spellEnd"/>
      <w:r>
        <w:rPr>
          <w:rFonts w:ascii="Verdana" w:hAnsi="Verdana"/>
        </w:rPr>
        <w:t xml:space="preserve"> frem til i et andet studie, som er fra 2007 </w:t>
      </w:r>
      <w:sdt>
        <w:sdtPr>
          <w:rPr>
            <w:rFonts w:ascii="Verdana" w:hAnsi="Verdana"/>
          </w:rPr>
          <w:id w:val="-537203955"/>
          <w:citation/>
        </w:sdtPr>
        <w:sdtEndPr/>
        <w:sdtContent>
          <w:r>
            <w:rPr>
              <w:rFonts w:ascii="Verdana" w:hAnsi="Verdana"/>
            </w:rPr>
            <w:fldChar w:fldCharType="begin"/>
          </w:r>
          <w:r>
            <w:rPr>
              <w:rFonts w:ascii="Verdana" w:hAnsi="Verdana"/>
            </w:rPr>
            <w:instrText xml:space="preserve"> CITATION Han07 \l 1030 </w:instrText>
          </w:r>
          <w:r>
            <w:rPr>
              <w:rFonts w:ascii="Verdana" w:hAnsi="Verdana"/>
            </w:rPr>
            <w:fldChar w:fldCharType="separate"/>
          </w:r>
          <w:r w:rsidR="006A0FEA" w:rsidRPr="006A0FEA">
            <w:rPr>
              <w:rFonts w:ascii="Verdana" w:hAnsi="Verdana"/>
              <w:noProof/>
            </w:rPr>
            <w:t>(Hanushek &amp; Wössmann, 2007)</w:t>
          </w:r>
          <w:r>
            <w:rPr>
              <w:rFonts w:ascii="Verdana" w:hAnsi="Verdana"/>
            </w:rPr>
            <w:fldChar w:fldCharType="end"/>
          </w:r>
        </w:sdtContent>
      </w:sdt>
      <w:r>
        <w:rPr>
          <w:rFonts w:ascii="Verdana" w:hAnsi="Verdana"/>
        </w:rPr>
        <w:t>. Som udgangspunkt kan</w:t>
      </w:r>
      <w:r w:rsidR="00B225DD">
        <w:rPr>
          <w:rFonts w:ascii="Verdana" w:hAnsi="Verdana"/>
        </w:rPr>
        <w:t xml:space="preserve"> man således ikke</w:t>
      </w:r>
      <w:r>
        <w:rPr>
          <w:rFonts w:ascii="Verdana" w:hAnsi="Verdana"/>
        </w:rPr>
        <w:t xml:space="preserve"> alene på baggrund af omkostningerne til uddannelse afgøre, hvor høj en kvalitet det pågældende uddannelsessystem er i stand til at levere. </w:t>
      </w:r>
    </w:p>
    <w:p w14:paraId="792A3CDD" w14:textId="4C869724" w:rsidR="00C73A61" w:rsidRDefault="00C73A61" w:rsidP="00C73A61">
      <w:pPr>
        <w:rPr>
          <w:rFonts w:ascii="Verdana" w:hAnsi="Verdana"/>
        </w:rPr>
      </w:pPr>
      <w:r>
        <w:rPr>
          <w:rFonts w:ascii="Verdana" w:hAnsi="Verdana"/>
        </w:rPr>
        <w:t>Skal man udtale sig om effekten på uddannelseskvalitet af ændret bevillingsstørrelse, er man</w:t>
      </w:r>
      <w:r w:rsidR="0032169C">
        <w:rPr>
          <w:rFonts w:ascii="Verdana" w:hAnsi="Verdana"/>
        </w:rPr>
        <w:t xml:space="preserve"> altså</w:t>
      </w:r>
      <w:r>
        <w:rPr>
          <w:rFonts w:ascii="Verdana" w:hAnsi="Verdana"/>
        </w:rPr>
        <w:t xml:space="preserve"> nødt til at specificere</w:t>
      </w:r>
      <w:r w:rsidR="002E1103">
        <w:rPr>
          <w:rFonts w:ascii="Verdana" w:hAnsi="Verdana"/>
        </w:rPr>
        <w:t>,</w:t>
      </w:r>
      <w:r>
        <w:rPr>
          <w:rFonts w:ascii="Verdana" w:hAnsi="Verdana"/>
        </w:rPr>
        <w:t xml:space="preserve"> hvordan den øgede/mindskede bevilling skal udmøntes. Dette giver</w:t>
      </w:r>
      <w:r w:rsidR="00B225DD">
        <w:rPr>
          <w:rFonts w:ascii="Verdana" w:hAnsi="Verdana"/>
        </w:rPr>
        <w:t xml:space="preserve"> i</w:t>
      </w:r>
      <w:r>
        <w:rPr>
          <w:rFonts w:ascii="Verdana" w:hAnsi="Verdana"/>
        </w:rPr>
        <w:t xml:space="preserve"> praksis den udfordring, at det ikke altid er det samme politiske niveau (eksempelvis Folketinget), som definerer</w:t>
      </w:r>
      <w:r w:rsidR="00B225DD">
        <w:rPr>
          <w:rFonts w:ascii="Verdana" w:hAnsi="Verdana"/>
        </w:rPr>
        <w:t>,</w:t>
      </w:r>
      <w:r>
        <w:rPr>
          <w:rFonts w:ascii="Verdana" w:hAnsi="Verdana"/>
        </w:rPr>
        <w:t xml:space="preserve"> hvordan bevillingsændringen skal omsættes på den enkelte </w:t>
      </w:r>
      <w:r>
        <w:rPr>
          <w:rFonts w:ascii="Verdana" w:hAnsi="Verdana"/>
        </w:rPr>
        <w:lastRenderedPageBreak/>
        <w:t xml:space="preserve">institution, da denne kan være underlagt en anden styringsenhed (eksempelvis en kommune) eller være en selvejende institution. </w:t>
      </w:r>
    </w:p>
    <w:p w14:paraId="204DED80" w14:textId="1D48B46A" w:rsidR="00E94BCE" w:rsidRDefault="00C73A61" w:rsidP="00E94BCE">
      <w:pPr>
        <w:pStyle w:val="NoSpacing"/>
        <w:rPr>
          <w:rFonts w:ascii="Verdana" w:hAnsi="Verdana"/>
        </w:rPr>
      </w:pPr>
      <w:r>
        <w:rPr>
          <w:rFonts w:ascii="Verdana" w:hAnsi="Verdana"/>
        </w:rPr>
        <w:t>Som bekendt er der dog mulighed for at styre en række rammer omkring undervisningen. Et eksempel på sådanne rammer, som Folketinget kan fastlægge er klassestørrelser, hvad der også kaldes klassekvotienter. I Danmark er det således bestemt ved lov</w:t>
      </w:r>
      <w:r w:rsidR="00B225DD">
        <w:rPr>
          <w:rFonts w:ascii="Verdana" w:hAnsi="Verdana"/>
        </w:rPr>
        <w:t>,</w:t>
      </w:r>
      <w:r>
        <w:rPr>
          <w:rFonts w:ascii="Verdana" w:hAnsi="Verdana"/>
        </w:rPr>
        <w:t xml:space="preserve"> hvad klassekvotienten</w:t>
      </w:r>
      <w:r w:rsidR="0032169C">
        <w:rPr>
          <w:rFonts w:ascii="Verdana" w:hAnsi="Verdana"/>
        </w:rPr>
        <w:t xml:space="preserve"> maksimalt på </w:t>
      </w:r>
      <w:proofErr w:type="gramStart"/>
      <w:r w:rsidR="0032169C">
        <w:rPr>
          <w:rFonts w:ascii="Verdana" w:hAnsi="Verdana"/>
        </w:rPr>
        <w:t>være</w:t>
      </w:r>
      <w:proofErr w:type="gramEnd"/>
      <w:r>
        <w:rPr>
          <w:rFonts w:ascii="Verdana" w:hAnsi="Verdana"/>
        </w:rPr>
        <w:t xml:space="preserve"> i både folkeskole og gymnasier. Netop på dette område, klassestørrelser, er der belæg for at konkludere, at kvaliteten, alt andet lige, er stigende for færre elever/studerende pr. underviser. I hvert fald ifølge Diane </w:t>
      </w:r>
      <w:proofErr w:type="spellStart"/>
      <w:r>
        <w:rPr>
          <w:rFonts w:ascii="Verdana" w:hAnsi="Verdana"/>
        </w:rPr>
        <w:t>Schanzenbach</w:t>
      </w:r>
      <w:proofErr w:type="spellEnd"/>
      <w:r>
        <w:rPr>
          <w:rFonts w:ascii="Verdana" w:hAnsi="Verdana"/>
        </w:rPr>
        <w:t xml:space="preserve"> fra </w:t>
      </w:r>
      <w:proofErr w:type="spellStart"/>
      <w:r>
        <w:rPr>
          <w:rFonts w:ascii="Verdana" w:hAnsi="Verdana"/>
        </w:rPr>
        <w:t>University</w:t>
      </w:r>
      <w:proofErr w:type="spellEnd"/>
      <w:r>
        <w:rPr>
          <w:rFonts w:ascii="Verdana" w:hAnsi="Verdana"/>
        </w:rPr>
        <w:t xml:space="preserve"> of Colorado, som i 2014 præsenterede et samlet overblik over litteraturen på området </w:t>
      </w:r>
      <w:sdt>
        <w:sdtPr>
          <w:rPr>
            <w:rFonts w:ascii="Verdana" w:hAnsi="Verdana"/>
          </w:rPr>
          <w:id w:val="-1024627081"/>
          <w:citation/>
        </w:sdtPr>
        <w:sdtEndPr/>
        <w:sdtContent>
          <w:r>
            <w:rPr>
              <w:rFonts w:ascii="Verdana" w:hAnsi="Verdana"/>
            </w:rPr>
            <w:fldChar w:fldCharType="begin"/>
          </w:r>
          <w:r>
            <w:rPr>
              <w:rFonts w:ascii="Verdana" w:hAnsi="Verdana"/>
            </w:rPr>
            <w:instrText xml:space="preserve"> CITATION Sch14 \l 1030 </w:instrText>
          </w:r>
          <w:r>
            <w:rPr>
              <w:rFonts w:ascii="Verdana" w:hAnsi="Verdana"/>
            </w:rPr>
            <w:fldChar w:fldCharType="separate"/>
          </w:r>
          <w:r w:rsidR="006A0FEA" w:rsidRPr="006A0FEA">
            <w:rPr>
              <w:rFonts w:ascii="Verdana" w:hAnsi="Verdana"/>
              <w:noProof/>
            </w:rPr>
            <w:t>(Schanzenbach, 2014)</w:t>
          </w:r>
          <w:r>
            <w:rPr>
              <w:rFonts w:ascii="Verdana" w:hAnsi="Verdana"/>
            </w:rPr>
            <w:fldChar w:fldCharType="end"/>
          </w:r>
        </w:sdtContent>
      </w:sdt>
      <w:r>
        <w:rPr>
          <w:rFonts w:ascii="Verdana" w:hAnsi="Verdana"/>
        </w:rPr>
        <w:t xml:space="preserve">. </w:t>
      </w:r>
    </w:p>
    <w:p w14:paraId="6B29A569" w14:textId="77777777" w:rsidR="00E94BCE" w:rsidRDefault="00E94BCE" w:rsidP="00E94BCE">
      <w:pPr>
        <w:pStyle w:val="NoSpacing"/>
        <w:rPr>
          <w:rFonts w:ascii="Verdana" w:hAnsi="Verdana"/>
        </w:rPr>
      </w:pPr>
    </w:p>
    <w:p w14:paraId="11388A6D" w14:textId="36E4E073" w:rsidR="00E94BCE" w:rsidRDefault="00E94BCE" w:rsidP="00E94BCE">
      <w:pPr>
        <w:pStyle w:val="NoSpacing"/>
        <w:rPr>
          <w:rFonts w:ascii="Verdana" w:hAnsi="Verdana"/>
        </w:rPr>
      </w:pPr>
      <w:r>
        <w:rPr>
          <w:rFonts w:ascii="Verdana" w:hAnsi="Verdana"/>
        </w:rPr>
        <w:t xml:space="preserve">Også </w:t>
      </w:r>
      <w:r w:rsidRPr="00F30990">
        <w:rPr>
          <w:rFonts w:ascii="Verdana" w:hAnsi="Verdana"/>
        </w:rPr>
        <w:t xml:space="preserve">Alan B. </w:t>
      </w:r>
      <w:proofErr w:type="spellStart"/>
      <w:r w:rsidRPr="00F30990">
        <w:rPr>
          <w:rFonts w:ascii="Verdana" w:hAnsi="Verdana"/>
        </w:rPr>
        <w:t>Krueger</w:t>
      </w:r>
      <w:proofErr w:type="spellEnd"/>
      <w:r w:rsidRPr="00F30990">
        <w:rPr>
          <w:rFonts w:ascii="Verdana" w:hAnsi="Verdana"/>
        </w:rPr>
        <w:t xml:space="preserve"> </w:t>
      </w:r>
      <w:r>
        <w:rPr>
          <w:rFonts w:ascii="Verdana" w:hAnsi="Verdana"/>
        </w:rPr>
        <w:t xml:space="preserve">har undersøgt effekten af klassestørrelser på produktiviteten. </w:t>
      </w:r>
      <w:proofErr w:type="spellStart"/>
      <w:r>
        <w:rPr>
          <w:rFonts w:ascii="Verdana" w:hAnsi="Verdana"/>
        </w:rPr>
        <w:t>Krueger</w:t>
      </w:r>
      <w:proofErr w:type="spellEnd"/>
      <w:r>
        <w:rPr>
          <w:rFonts w:ascii="Verdana" w:hAnsi="Verdana"/>
        </w:rPr>
        <w:t xml:space="preserve"> finder i et studie, der </w:t>
      </w:r>
      <w:r w:rsidRPr="00F30990">
        <w:rPr>
          <w:rFonts w:ascii="Verdana" w:hAnsi="Verdana"/>
        </w:rPr>
        <w:t xml:space="preserve">er udgivet i The </w:t>
      </w:r>
      <w:proofErr w:type="spellStart"/>
      <w:r w:rsidRPr="00F30990">
        <w:rPr>
          <w:rFonts w:ascii="Verdana" w:hAnsi="Verdana"/>
        </w:rPr>
        <w:t>Economic</w:t>
      </w:r>
      <w:proofErr w:type="spellEnd"/>
      <w:r w:rsidRPr="00F30990">
        <w:rPr>
          <w:rFonts w:ascii="Verdana" w:hAnsi="Verdana"/>
        </w:rPr>
        <w:t xml:space="preserve"> Journal; ’</w:t>
      </w:r>
      <w:proofErr w:type="spellStart"/>
      <w:r w:rsidRPr="00F30990">
        <w:rPr>
          <w:rFonts w:ascii="Verdana" w:hAnsi="Verdana"/>
        </w:rPr>
        <w:t>Economic</w:t>
      </w:r>
      <w:proofErr w:type="spellEnd"/>
      <w:r>
        <w:rPr>
          <w:rFonts w:ascii="Verdana" w:hAnsi="Verdana"/>
        </w:rPr>
        <w:t xml:space="preserve"> </w:t>
      </w:r>
      <w:proofErr w:type="spellStart"/>
      <w:r>
        <w:rPr>
          <w:rFonts w:ascii="Verdana" w:hAnsi="Verdana"/>
        </w:rPr>
        <w:t>Considerations</w:t>
      </w:r>
      <w:proofErr w:type="spellEnd"/>
      <w:r>
        <w:rPr>
          <w:rFonts w:ascii="Verdana" w:hAnsi="Verdana"/>
        </w:rPr>
        <w:t xml:space="preserve"> and Class </w:t>
      </w:r>
      <w:proofErr w:type="spellStart"/>
      <w:r>
        <w:rPr>
          <w:rFonts w:ascii="Verdana" w:hAnsi="Verdana"/>
        </w:rPr>
        <w:t>Size</w:t>
      </w:r>
      <w:proofErr w:type="spellEnd"/>
      <w:r>
        <w:rPr>
          <w:rFonts w:ascii="Verdana" w:hAnsi="Verdana"/>
        </w:rPr>
        <w:t xml:space="preserve">’, </w:t>
      </w:r>
      <w:r w:rsidRPr="00F30990">
        <w:rPr>
          <w:rFonts w:ascii="Verdana" w:hAnsi="Verdana"/>
        </w:rPr>
        <w:t xml:space="preserve">at den interne rente ved en sænkelse af klassekvotienten fra 22 til 15 elever er på 6 pct. </w:t>
      </w:r>
      <w:sdt>
        <w:sdtPr>
          <w:rPr>
            <w:rFonts w:ascii="Verdana" w:hAnsi="Verdana"/>
          </w:rPr>
          <w:id w:val="-722993494"/>
          <w:citation/>
        </w:sdtPr>
        <w:sdtEndPr/>
        <w:sdtContent>
          <w:r w:rsidRPr="00F30990">
            <w:rPr>
              <w:rFonts w:ascii="Verdana" w:hAnsi="Verdana"/>
            </w:rPr>
            <w:fldChar w:fldCharType="begin"/>
          </w:r>
          <w:r w:rsidRPr="00F30990">
            <w:rPr>
              <w:rFonts w:ascii="Verdana" w:hAnsi="Verdana"/>
            </w:rPr>
            <w:instrText xml:space="preserve"> CITATION Kru03 \l 1030 </w:instrText>
          </w:r>
          <w:r w:rsidRPr="00F30990">
            <w:rPr>
              <w:rFonts w:ascii="Verdana" w:hAnsi="Verdana"/>
            </w:rPr>
            <w:fldChar w:fldCharType="separate"/>
          </w:r>
          <w:r w:rsidR="006A0FEA" w:rsidRPr="006A0FEA">
            <w:rPr>
              <w:rFonts w:ascii="Verdana" w:hAnsi="Verdana"/>
              <w:noProof/>
            </w:rPr>
            <w:t>(Krueger, 2003)</w:t>
          </w:r>
          <w:r w:rsidRPr="00F30990">
            <w:rPr>
              <w:rFonts w:ascii="Verdana" w:hAnsi="Verdana"/>
            </w:rPr>
            <w:fldChar w:fldCharType="end"/>
          </w:r>
        </w:sdtContent>
      </w:sdt>
      <w:r w:rsidRPr="00F30990">
        <w:rPr>
          <w:rFonts w:ascii="Verdana" w:hAnsi="Verdana"/>
        </w:rPr>
        <w:t>.  Der er altså tale om en overordentlig god samfundsøkonomisk investering i en reduktion af klassekvotienten.</w:t>
      </w:r>
    </w:p>
    <w:p w14:paraId="41232FDE" w14:textId="77777777" w:rsidR="00E94BCE" w:rsidRPr="00F30990" w:rsidRDefault="00E94BCE" w:rsidP="00E94BCE">
      <w:pPr>
        <w:pStyle w:val="NoSpacing"/>
        <w:rPr>
          <w:rFonts w:ascii="Verdana" w:hAnsi="Verdana"/>
        </w:rPr>
      </w:pPr>
    </w:p>
    <w:p w14:paraId="7DF0414B" w14:textId="6E56C39A" w:rsidR="00E94BCE" w:rsidRDefault="00E94BCE" w:rsidP="00E94BCE">
      <w:pPr>
        <w:pStyle w:val="NoSpacing"/>
        <w:rPr>
          <w:rFonts w:ascii="Verdana" w:hAnsi="Verdana"/>
        </w:rPr>
      </w:pPr>
      <w:r w:rsidRPr="00F30990">
        <w:rPr>
          <w:rFonts w:ascii="Verdana" w:hAnsi="Verdana"/>
        </w:rPr>
        <w:t xml:space="preserve">De studier, som </w:t>
      </w:r>
      <w:proofErr w:type="spellStart"/>
      <w:r w:rsidRPr="00F30990">
        <w:rPr>
          <w:rFonts w:ascii="Verdana" w:hAnsi="Verdana"/>
        </w:rPr>
        <w:t>Krueger</w:t>
      </w:r>
      <w:proofErr w:type="spellEnd"/>
      <w:r w:rsidRPr="00F30990">
        <w:rPr>
          <w:rFonts w:ascii="Verdana" w:hAnsi="Verdana"/>
        </w:rPr>
        <w:t xml:space="preserve"> bygger sin beregning på, er af særdeles høj kvalitet. Eksempelvis anvender han resultater fra </w:t>
      </w:r>
      <w:proofErr w:type="spellStart"/>
      <w:r w:rsidRPr="00F30990">
        <w:rPr>
          <w:rFonts w:ascii="Verdana" w:hAnsi="Verdana"/>
        </w:rPr>
        <w:t>Tennessee’s</w:t>
      </w:r>
      <w:proofErr w:type="spellEnd"/>
      <w:r w:rsidRPr="00F30990">
        <w:rPr>
          <w:rFonts w:ascii="Verdana" w:hAnsi="Verdana"/>
        </w:rPr>
        <w:t xml:space="preserve"> </w:t>
      </w:r>
      <w:proofErr w:type="spellStart"/>
      <w:r w:rsidRPr="00F30990">
        <w:rPr>
          <w:rFonts w:ascii="Verdana" w:hAnsi="Verdana"/>
        </w:rPr>
        <w:t>project</w:t>
      </w:r>
      <w:proofErr w:type="spellEnd"/>
      <w:r w:rsidRPr="00F30990">
        <w:rPr>
          <w:rFonts w:ascii="Verdana" w:hAnsi="Verdana"/>
        </w:rPr>
        <w:t xml:space="preserve"> STAR (Student-Teacher </w:t>
      </w:r>
      <w:proofErr w:type="spellStart"/>
      <w:r w:rsidRPr="00F30990">
        <w:rPr>
          <w:rFonts w:ascii="Verdana" w:hAnsi="Verdana"/>
        </w:rPr>
        <w:t>Achievement</w:t>
      </w:r>
      <w:proofErr w:type="spellEnd"/>
      <w:r w:rsidRPr="00F30990">
        <w:rPr>
          <w:rFonts w:ascii="Verdana" w:hAnsi="Verdana"/>
        </w:rPr>
        <w:t xml:space="preserve"> Ratio), som er et af de </w:t>
      </w:r>
      <w:r>
        <w:rPr>
          <w:rFonts w:ascii="Verdana" w:hAnsi="Verdana"/>
        </w:rPr>
        <w:t xml:space="preserve">mest </w:t>
      </w:r>
      <w:r w:rsidRPr="00F30990">
        <w:rPr>
          <w:rFonts w:ascii="Verdana" w:hAnsi="Verdana"/>
        </w:rPr>
        <w:t xml:space="preserve">robuste studier indenfor uddannelseslitteraturen, eftersom det er baseret på </w:t>
      </w:r>
      <w:proofErr w:type="spellStart"/>
      <w:r w:rsidRPr="00F30990">
        <w:rPr>
          <w:rFonts w:ascii="Verdana" w:hAnsi="Verdana"/>
        </w:rPr>
        <w:t>randomiseret</w:t>
      </w:r>
      <w:proofErr w:type="spellEnd"/>
      <w:r w:rsidRPr="00F30990">
        <w:rPr>
          <w:rFonts w:ascii="Verdana" w:hAnsi="Verdana"/>
        </w:rPr>
        <w:t xml:space="preserve"> fordeling af elever. Således var projektet </w:t>
      </w:r>
      <w:r>
        <w:rPr>
          <w:rFonts w:ascii="Verdana" w:hAnsi="Verdana"/>
        </w:rPr>
        <w:t xml:space="preserve">konstrueret som et naturligt </w:t>
      </w:r>
      <w:r w:rsidRPr="00F30990">
        <w:rPr>
          <w:rFonts w:ascii="Verdana" w:hAnsi="Verdana"/>
        </w:rPr>
        <w:t>eksperiment, h</w:t>
      </w:r>
      <w:r>
        <w:rPr>
          <w:rFonts w:ascii="Verdana" w:hAnsi="Verdana"/>
        </w:rPr>
        <w:t xml:space="preserve">vor 11.600 folkeskoleelever </w:t>
      </w:r>
      <w:r w:rsidRPr="00F30990">
        <w:rPr>
          <w:rFonts w:ascii="Verdana" w:hAnsi="Verdana"/>
        </w:rPr>
        <w:t xml:space="preserve">tilfældigt </w:t>
      </w:r>
      <w:r>
        <w:rPr>
          <w:rFonts w:ascii="Verdana" w:hAnsi="Verdana"/>
        </w:rPr>
        <w:t xml:space="preserve">blev </w:t>
      </w:r>
      <w:r w:rsidRPr="00F30990">
        <w:rPr>
          <w:rFonts w:ascii="Verdana" w:hAnsi="Verdana"/>
        </w:rPr>
        <w:t>fordelt på henholdsvis små klasse</w:t>
      </w:r>
      <w:r>
        <w:rPr>
          <w:rFonts w:ascii="Verdana" w:hAnsi="Verdana"/>
        </w:rPr>
        <w:t xml:space="preserve">r </w:t>
      </w:r>
      <w:r w:rsidRPr="00F30990">
        <w:rPr>
          <w:rFonts w:ascii="Verdana" w:hAnsi="Verdana"/>
        </w:rPr>
        <w:t xml:space="preserve">og </w:t>
      </w:r>
      <w:r>
        <w:rPr>
          <w:rFonts w:ascii="Verdana" w:hAnsi="Verdana"/>
        </w:rPr>
        <w:t xml:space="preserve">klasser med </w:t>
      </w:r>
      <w:r w:rsidRPr="00F30990">
        <w:rPr>
          <w:rFonts w:ascii="Verdana" w:hAnsi="Verdana"/>
        </w:rPr>
        <w:t>almindelige klassestørrelser i de første 4 år af deres skoletid. Efterfølgende kunne det konstateres, at eleverne – på bare fire år i mindre klasser – scorede 0,2 i standardafvigelse bedre end d</w:t>
      </w:r>
      <w:r>
        <w:rPr>
          <w:rFonts w:ascii="Verdana" w:hAnsi="Verdana"/>
        </w:rPr>
        <w:t>eres jævnaldrende i både regne- og læsetest</w:t>
      </w:r>
      <w:r w:rsidRPr="00F30990">
        <w:rPr>
          <w:rFonts w:ascii="Verdana" w:hAnsi="Verdana"/>
        </w:rPr>
        <w:t xml:space="preserve">. Baseret på en række øvrige studier konkluderer </w:t>
      </w:r>
      <w:proofErr w:type="spellStart"/>
      <w:r w:rsidRPr="00F30990">
        <w:rPr>
          <w:rFonts w:ascii="Verdana" w:hAnsi="Verdana"/>
        </w:rPr>
        <w:t>Krueger</w:t>
      </w:r>
      <w:proofErr w:type="spellEnd"/>
      <w:r w:rsidRPr="00F30990">
        <w:rPr>
          <w:rFonts w:ascii="Verdana" w:hAnsi="Verdana"/>
        </w:rPr>
        <w:t xml:space="preserve">, at en forbedring på 1 i standardafvigelse på testscoren i matematik og læsning over et livsforløb giver anledning til 8 pct. højere løn </w:t>
      </w:r>
      <w:sdt>
        <w:sdtPr>
          <w:rPr>
            <w:rFonts w:ascii="Verdana" w:hAnsi="Verdana"/>
          </w:rPr>
          <w:id w:val="1000854676"/>
          <w:citation/>
        </w:sdtPr>
        <w:sdtEndPr/>
        <w:sdtContent>
          <w:r w:rsidRPr="00F30990">
            <w:rPr>
              <w:rFonts w:ascii="Verdana" w:hAnsi="Verdana"/>
            </w:rPr>
            <w:fldChar w:fldCharType="begin"/>
          </w:r>
          <w:r w:rsidRPr="00F30990">
            <w:rPr>
              <w:rFonts w:ascii="Verdana" w:hAnsi="Verdana"/>
            </w:rPr>
            <w:instrText xml:space="preserve"> CITATION Kru03 \l 1030 </w:instrText>
          </w:r>
          <w:r w:rsidRPr="00F30990">
            <w:rPr>
              <w:rFonts w:ascii="Verdana" w:hAnsi="Verdana"/>
            </w:rPr>
            <w:fldChar w:fldCharType="separate"/>
          </w:r>
          <w:r w:rsidR="006A0FEA" w:rsidRPr="006A0FEA">
            <w:rPr>
              <w:rFonts w:ascii="Verdana" w:hAnsi="Verdana"/>
              <w:noProof/>
            </w:rPr>
            <w:t>(Krueger, 2003)</w:t>
          </w:r>
          <w:r w:rsidRPr="00F30990">
            <w:rPr>
              <w:rFonts w:ascii="Verdana" w:hAnsi="Verdana"/>
            </w:rPr>
            <w:fldChar w:fldCharType="end"/>
          </w:r>
        </w:sdtContent>
      </w:sdt>
      <w:r w:rsidRPr="00F30990">
        <w:rPr>
          <w:rFonts w:ascii="Verdana" w:hAnsi="Verdana"/>
        </w:rPr>
        <w:t>. Under standardantagelsen, at alle på arbejdsmarkedet får en løn, der præcis afspejler den værdi, som de hver især har for den virksomhed, hvori de er ansat, svarer dette til den produktivitetseffekt, der kommer ud af at sænke klassekvotienten.</w:t>
      </w:r>
      <w:r>
        <w:rPr>
          <w:rFonts w:ascii="Verdana" w:hAnsi="Verdana"/>
        </w:rPr>
        <w:t xml:space="preserve"> Vel at mærke hvis man udelukkende fokuserer på den individuelle effekt af uddannelse, og altså ikke inkluderer fælleseffekten, som eksempelvis omtales af Junge og Skaksen i </w:t>
      </w:r>
      <w:sdt>
        <w:sdtPr>
          <w:rPr>
            <w:rFonts w:ascii="Verdana" w:hAnsi="Verdana"/>
          </w:rPr>
          <w:id w:val="-1566554126"/>
          <w:citation/>
        </w:sdtPr>
        <w:sdtEndPr/>
        <w:sdtContent>
          <w:r>
            <w:rPr>
              <w:rFonts w:ascii="Verdana" w:hAnsi="Verdana"/>
            </w:rPr>
            <w:fldChar w:fldCharType="begin"/>
          </w:r>
          <w:r w:rsidR="00B32831">
            <w:rPr>
              <w:rFonts w:ascii="Verdana" w:hAnsi="Verdana"/>
            </w:rPr>
            <w:instrText xml:space="preserve">CITATION Jun10 \l 1030 </w:instrText>
          </w:r>
          <w:r>
            <w:rPr>
              <w:rFonts w:ascii="Verdana" w:hAnsi="Verdana"/>
            </w:rPr>
            <w:fldChar w:fldCharType="separate"/>
          </w:r>
          <w:r w:rsidR="006A0FEA" w:rsidRPr="006A0FEA">
            <w:rPr>
              <w:rFonts w:ascii="Verdana" w:hAnsi="Verdana"/>
              <w:noProof/>
            </w:rPr>
            <w:t>(Junge &amp; Skaksen, 2010)</w:t>
          </w:r>
          <w:r>
            <w:rPr>
              <w:rFonts w:ascii="Verdana" w:hAnsi="Verdana"/>
            </w:rPr>
            <w:fldChar w:fldCharType="end"/>
          </w:r>
        </w:sdtContent>
      </w:sdt>
      <w:r>
        <w:rPr>
          <w:rFonts w:ascii="Verdana" w:hAnsi="Verdana"/>
        </w:rPr>
        <w:t>.</w:t>
      </w:r>
    </w:p>
    <w:p w14:paraId="1DA308DE" w14:textId="77777777" w:rsidR="0097270D" w:rsidRDefault="0097270D" w:rsidP="00E94BCE">
      <w:pPr>
        <w:pStyle w:val="NoSpacing"/>
        <w:rPr>
          <w:rFonts w:ascii="Verdana" w:hAnsi="Verdana"/>
        </w:rPr>
      </w:pPr>
    </w:p>
    <w:p w14:paraId="646DF640" w14:textId="22A71E6A" w:rsidR="00C73A61" w:rsidRDefault="00C73A61" w:rsidP="00C73A61">
      <w:pPr>
        <w:rPr>
          <w:rFonts w:ascii="Verdana" w:hAnsi="Verdana"/>
        </w:rPr>
      </w:pPr>
      <w:r>
        <w:rPr>
          <w:rFonts w:ascii="Verdana" w:hAnsi="Verdana"/>
        </w:rPr>
        <w:t>Der findes i</w:t>
      </w:r>
      <w:r w:rsidR="0032169C">
        <w:rPr>
          <w:rFonts w:ascii="Verdana" w:hAnsi="Verdana"/>
        </w:rPr>
        <w:t>følge</w:t>
      </w:r>
      <w:r>
        <w:rPr>
          <w:rFonts w:ascii="Verdana" w:hAnsi="Verdana"/>
        </w:rPr>
        <w:t xml:space="preserve"> </w:t>
      </w:r>
      <w:proofErr w:type="spellStart"/>
      <w:r>
        <w:rPr>
          <w:rFonts w:ascii="Verdana" w:hAnsi="Verdana"/>
        </w:rPr>
        <w:t>Hanushek</w:t>
      </w:r>
      <w:proofErr w:type="spellEnd"/>
      <w:r>
        <w:rPr>
          <w:rFonts w:ascii="Verdana" w:hAnsi="Verdana"/>
        </w:rPr>
        <w:t xml:space="preserve"> og </w:t>
      </w:r>
      <w:proofErr w:type="spellStart"/>
      <w:r>
        <w:rPr>
          <w:rFonts w:ascii="Verdana" w:hAnsi="Verdana"/>
        </w:rPr>
        <w:t>Wössmann</w:t>
      </w:r>
      <w:proofErr w:type="spellEnd"/>
      <w:r>
        <w:rPr>
          <w:rFonts w:ascii="Verdana" w:hAnsi="Verdana"/>
        </w:rPr>
        <w:t xml:space="preserve"> en række forskellige parametre, der, på samme måde som klassekvotient, kan anvendes til at vurdere kvaliteten af uddannelse </w:t>
      </w:r>
      <w:sdt>
        <w:sdtPr>
          <w:rPr>
            <w:rFonts w:ascii="Verdana" w:hAnsi="Verdana"/>
          </w:rPr>
          <w:id w:val="-1043363547"/>
          <w:citation/>
        </w:sdtPr>
        <w:sdtEndPr/>
        <w:sdtContent>
          <w:r>
            <w:rPr>
              <w:rFonts w:ascii="Verdana" w:hAnsi="Verdana"/>
            </w:rPr>
            <w:fldChar w:fldCharType="begin"/>
          </w:r>
          <w:r>
            <w:rPr>
              <w:rFonts w:ascii="Verdana" w:hAnsi="Verdana"/>
            </w:rPr>
            <w:instrText xml:space="preserve"> CITATION Han07 \l 1030 </w:instrText>
          </w:r>
          <w:r>
            <w:rPr>
              <w:rFonts w:ascii="Verdana" w:hAnsi="Verdana"/>
            </w:rPr>
            <w:fldChar w:fldCharType="separate"/>
          </w:r>
          <w:r w:rsidR="006A0FEA" w:rsidRPr="006A0FEA">
            <w:rPr>
              <w:rFonts w:ascii="Verdana" w:hAnsi="Verdana"/>
              <w:noProof/>
            </w:rPr>
            <w:t>(Hanushek &amp; Wössmann, 2007)</w:t>
          </w:r>
          <w:r>
            <w:rPr>
              <w:rFonts w:ascii="Verdana" w:hAnsi="Verdana"/>
            </w:rPr>
            <w:fldChar w:fldCharType="end"/>
          </w:r>
        </w:sdtContent>
      </w:sdt>
      <w:r>
        <w:rPr>
          <w:rFonts w:ascii="Verdana" w:hAnsi="Verdana"/>
        </w:rPr>
        <w:t>.</w:t>
      </w:r>
    </w:p>
    <w:p w14:paraId="698CDAC7" w14:textId="6B9BF76A" w:rsidR="00C73A61" w:rsidRDefault="00C73A61" w:rsidP="00C73A61">
      <w:pPr>
        <w:rPr>
          <w:rFonts w:ascii="Verdana" w:hAnsi="Verdana"/>
        </w:rPr>
      </w:pPr>
      <w:r>
        <w:rPr>
          <w:rFonts w:ascii="Verdana" w:hAnsi="Verdana"/>
        </w:rPr>
        <w:t>Med andre ord er det altså ikke umuligt at foretage analyser af effekten på uddannelseskvalitet af ændrede bevillingsstørrelser</w:t>
      </w:r>
      <w:r w:rsidR="00CA1817">
        <w:rPr>
          <w:rFonts w:ascii="Verdana" w:hAnsi="Verdana"/>
        </w:rPr>
        <w:t xml:space="preserve"> alene</w:t>
      </w:r>
      <w:r w:rsidR="0031645B">
        <w:rPr>
          <w:rFonts w:ascii="Verdana" w:hAnsi="Verdana"/>
        </w:rPr>
        <w:t xml:space="preserve">. Dog forudsætter </w:t>
      </w:r>
      <w:r w:rsidR="0031645B">
        <w:rPr>
          <w:rFonts w:ascii="Verdana" w:hAnsi="Verdana"/>
        </w:rPr>
        <w:lastRenderedPageBreak/>
        <w:t xml:space="preserve">dette, at der </w:t>
      </w:r>
      <w:r>
        <w:rPr>
          <w:rFonts w:ascii="Verdana" w:hAnsi="Verdana"/>
        </w:rPr>
        <w:t>opsætte</w:t>
      </w:r>
      <w:r w:rsidR="0031645B">
        <w:rPr>
          <w:rFonts w:ascii="Verdana" w:hAnsi="Verdana"/>
        </w:rPr>
        <w:t>s</w:t>
      </w:r>
      <w:r>
        <w:rPr>
          <w:rFonts w:ascii="Verdana" w:hAnsi="Verdana"/>
        </w:rPr>
        <w:t xml:space="preserve"> antagelser om den konkrete </w:t>
      </w:r>
      <w:r w:rsidR="00122520">
        <w:rPr>
          <w:rFonts w:ascii="Verdana" w:hAnsi="Verdana"/>
        </w:rPr>
        <w:t>udmøntning af sådanne ændringer, førend effekten kan fastlægges.</w:t>
      </w:r>
    </w:p>
    <w:p w14:paraId="18ADB7D2" w14:textId="5295F44F" w:rsidR="005E15C5" w:rsidRDefault="00122520" w:rsidP="00C73A61">
      <w:pPr>
        <w:rPr>
          <w:rFonts w:ascii="Verdana" w:hAnsi="Verdana"/>
        </w:rPr>
      </w:pPr>
      <w:r>
        <w:rPr>
          <w:rFonts w:ascii="Verdana" w:hAnsi="Verdana"/>
        </w:rPr>
        <w:t>D</w:t>
      </w:r>
      <w:r w:rsidR="00C73A61">
        <w:rPr>
          <w:rFonts w:ascii="Verdana" w:hAnsi="Verdana"/>
        </w:rPr>
        <w:t xml:space="preserve">en anden </w:t>
      </w:r>
      <w:r>
        <w:rPr>
          <w:rFonts w:ascii="Verdana" w:hAnsi="Verdana"/>
        </w:rPr>
        <w:t>analyse</w:t>
      </w:r>
      <w:r w:rsidR="00C73A61">
        <w:rPr>
          <w:rFonts w:ascii="Verdana" w:hAnsi="Verdana"/>
        </w:rPr>
        <w:t xml:space="preserve">tilgang, nemlig at måle på </w:t>
      </w:r>
      <w:r>
        <w:rPr>
          <w:rFonts w:ascii="Verdana" w:hAnsi="Verdana"/>
        </w:rPr>
        <w:t>uddannelses</w:t>
      </w:r>
      <w:r w:rsidR="00C73A61">
        <w:rPr>
          <w:rFonts w:ascii="Verdana" w:hAnsi="Verdana"/>
        </w:rPr>
        <w:t>kvantiteten</w:t>
      </w:r>
      <w:r>
        <w:rPr>
          <w:rFonts w:ascii="Verdana" w:hAnsi="Verdana"/>
        </w:rPr>
        <w:t>,</w:t>
      </w:r>
      <w:r w:rsidR="00C73A61">
        <w:rPr>
          <w:rFonts w:ascii="Verdana" w:hAnsi="Verdana"/>
        </w:rPr>
        <w:t xml:space="preserve"> er mere umiddelbar omsættelig i konkrete analysekoncepter. Et eksempel på en mulig beregning af </w:t>
      </w:r>
      <w:r w:rsidR="00C73A61">
        <w:rPr>
          <w:rFonts w:ascii="Verdana" w:hAnsi="Verdana"/>
          <w:i/>
        </w:rPr>
        <w:t xml:space="preserve">kvantitetseffekten </w:t>
      </w:r>
      <w:r w:rsidR="00C73A61">
        <w:rPr>
          <w:rFonts w:ascii="Verdana" w:hAnsi="Verdana"/>
        </w:rPr>
        <w:t>af ændrede bevillinger kan findes hos Jan Rose Skaksen og Martin Junge, der tilbage i 201</w:t>
      </w:r>
      <w:r w:rsidR="00762286">
        <w:rPr>
          <w:rFonts w:ascii="Verdana" w:hAnsi="Verdana"/>
        </w:rPr>
        <w:t>0</w:t>
      </w:r>
      <w:r w:rsidR="00C73A61">
        <w:rPr>
          <w:rFonts w:ascii="Verdana" w:hAnsi="Verdana"/>
        </w:rPr>
        <w:t xml:space="preserve"> gennemført</w:t>
      </w:r>
      <w:r w:rsidR="001360BE">
        <w:rPr>
          <w:rFonts w:ascii="Verdana" w:hAnsi="Verdana"/>
        </w:rPr>
        <w:t>e</w:t>
      </w:r>
      <w:r w:rsidR="00C73A61">
        <w:rPr>
          <w:rFonts w:ascii="Verdana" w:hAnsi="Verdana"/>
        </w:rPr>
        <w:t xml:space="preserve"> et studie af produktivitetseffekten af videregående uddannelse. I rapporten analyserer forfatterne alene produktivitetseffekten af højtuddannet arbejdskraft.</w:t>
      </w:r>
      <w:r w:rsidR="005E15C5">
        <w:rPr>
          <w:rFonts w:ascii="Verdana" w:hAnsi="Verdana"/>
        </w:rPr>
        <w:t xml:space="preserve"> </w:t>
      </w:r>
      <w:r w:rsidR="00C73A61">
        <w:rPr>
          <w:rFonts w:ascii="Verdana" w:hAnsi="Verdana"/>
        </w:rPr>
        <w:t>Rapporten er baseret på et omfattende paneldatastudie, hvor det undersøges</w:t>
      </w:r>
      <w:r w:rsidR="0016091D">
        <w:rPr>
          <w:rFonts w:ascii="Verdana" w:hAnsi="Verdana"/>
        </w:rPr>
        <w:t xml:space="preserve"> i hvilket omfang</w:t>
      </w:r>
      <w:r w:rsidR="00C73A61">
        <w:rPr>
          <w:rFonts w:ascii="Verdana" w:hAnsi="Verdana"/>
        </w:rPr>
        <w:t xml:space="preserve"> produktiviteten </w:t>
      </w:r>
      <w:r>
        <w:rPr>
          <w:rFonts w:ascii="Verdana" w:hAnsi="Verdana"/>
        </w:rPr>
        <w:t xml:space="preserve">på virksomhedsniveau </w:t>
      </w:r>
      <w:r w:rsidR="00C73A61">
        <w:rPr>
          <w:rFonts w:ascii="Verdana" w:hAnsi="Verdana"/>
        </w:rPr>
        <w:t xml:space="preserve">påvirkes af personer med en videregående uddannelse. </w:t>
      </w:r>
      <w:r w:rsidR="005E15C5">
        <w:rPr>
          <w:rFonts w:ascii="Verdana" w:hAnsi="Verdana"/>
        </w:rPr>
        <w:t xml:space="preserve">Produktiviteten er her defineret </w:t>
      </w:r>
      <w:r w:rsidR="00B32831">
        <w:rPr>
          <w:rFonts w:ascii="Verdana" w:hAnsi="Verdana"/>
        </w:rPr>
        <w:t xml:space="preserve">både ud fra den enkelte og </w:t>
      </w:r>
      <w:r w:rsidR="005E15C5">
        <w:rPr>
          <w:rFonts w:ascii="Verdana" w:hAnsi="Verdana"/>
        </w:rPr>
        <w:t>på virksomhedsniveau</w:t>
      </w:r>
      <w:r w:rsidR="00B32831">
        <w:rPr>
          <w:rFonts w:ascii="Verdana" w:hAnsi="Verdana"/>
        </w:rPr>
        <w:t xml:space="preserve">. Således gennemfører forfatterne både en analyse af effekten af uddannelse på den enkeltes lønniveau samt uddannelsens effekt på den virksomhed, som personen arbejder, ved at analysere </w:t>
      </w:r>
      <w:r w:rsidR="005E15C5">
        <w:rPr>
          <w:rFonts w:ascii="Verdana" w:hAnsi="Verdana"/>
        </w:rPr>
        <w:t>værditilvækst</w:t>
      </w:r>
      <w:r w:rsidR="00B32831">
        <w:rPr>
          <w:rFonts w:ascii="Verdana" w:hAnsi="Verdana"/>
        </w:rPr>
        <w:t xml:space="preserve">en </w:t>
      </w:r>
      <w:r w:rsidR="005E15C5">
        <w:rPr>
          <w:rFonts w:ascii="Verdana" w:hAnsi="Verdana"/>
        </w:rPr>
        <w:t xml:space="preserve">pr. medarbejder. </w:t>
      </w:r>
      <w:r w:rsidR="005E15C5" w:rsidRPr="005E15C5">
        <w:rPr>
          <w:rFonts w:ascii="Verdana" w:hAnsi="Verdana"/>
        </w:rPr>
        <w:t>Analysen viser, at jo højere andel</w:t>
      </w:r>
      <w:r w:rsidR="005E15C5">
        <w:rPr>
          <w:rFonts w:ascii="Verdana" w:hAnsi="Verdana"/>
        </w:rPr>
        <w:t xml:space="preserve"> h</w:t>
      </w:r>
      <w:r w:rsidR="005E15C5" w:rsidRPr="005E15C5">
        <w:rPr>
          <w:rFonts w:ascii="Verdana" w:hAnsi="Verdana"/>
        </w:rPr>
        <w:t>øjtuddannede en virksomhed har, jo højere er dens produktivitet.</w:t>
      </w:r>
      <w:r w:rsidR="005E15C5">
        <w:rPr>
          <w:rFonts w:ascii="Verdana" w:hAnsi="Verdana"/>
        </w:rPr>
        <w:t xml:space="preserve"> Her tager forfatterne dog det forbehold, at det</w:t>
      </w:r>
      <w:r w:rsidR="00371D8E">
        <w:rPr>
          <w:rFonts w:ascii="Verdana" w:hAnsi="Verdana"/>
        </w:rPr>
        <w:t xml:space="preserve"> ikke er muligt </w:t>
      </w:r>
      <w:r w:rsidR="005E15C5">
        <w:rPr>
          <w:rFonts w:ascii="Verdana" w:hAnsi="Verdana"/>
        </w:rPr>
        <w:t>at påvise retningen af årsagssammenhængen</w:t>
      </w:r>
      <w:r w:rsidR="00371D8E">
        <w:rPr>
          <w:rFonts w:ascii="Verdana" w:hAnsi="Verdana"/>
        </w:rPr>
        <w:t xml:space="preserve">. Dvs. om det </w:t>
      </w:r>
      <w:r w:rsidR="005E15C5">
        <w:rPr>
          <w:rFonts w:ascii="Verdana" w:hAnsi="Verdana"/>
        </w:rPr>
        <w:t xml:space="preserve">er de højere uddannede, der skaber højere produktivitet eller </w:t>
      </w:r>
      <w:r w:rsidR="00371D8E">
        <w:rPr>
          <w:rFonts w:ascii="Verdana" w:hAnsi="Verdana"/>
        </w:rPr>
        <w:t>om det er</w:t>
      </w:r>
      <w:r w:rsidR="005E15C5">
        <w:rPr>
          <w:rFonts w:ascii="Verdana" w:hAnsi="Verdana"/>
        </w:rPr>
        <w:t xml:space="preserve"> de højproduktive virksomheder, der i højere grad efterspørger højtuddannet arbejdskraft. </w:t>
      </w:r>
      <w:r w:rsidR="00767FB5">
        <w:rPr>
          <w:rFonts w:ascii="Verdana" w:hAnsi="Verdana"/>
        </w:rPr>
        <w:t xml:space="preserve">Forfatterne bemærker dog, at selvom det sidste skulle være tilfældet – at det er de højproduktive virksomheder, der efterspørger højtuddannede arbejdskraft – er analysens resultater fortsat relevante, da det må formodes at tilstedeværelsen af personer med lange videregående uddannelser </w:t>
      </w:r>
      <w:r w:rsidR="008E79AD">
        <w:rPr>
          <w:rFonts w:ascii="Verdana" w:hAnsi="Verdana"/>
        </w:rPr>
        <w:t xml:space="preserve">i så fald </w:t>
      </w:r>
      <w:r w:rsidR="00767FB5">
        <w:rPr>
          <w:rFonts w:ascii="Verdana" w:hAnsi="Verdana"/>
        </w:rPr>
        <w:t>vil tiltrække højproduktive virksomheder. Derved vil de højtuddannede personer på sigt alligevel bidrage til en højere produktivitet, selvom kausaliteten altså går den anden vej</w:t>
      </w:r>
      <w:r w:rsidR="005155FF">
        <w:rPr>
          <w:rFonts w:ascii="Verdana" w:hAnsi="Verdana"/>
        </w:rPr>
        <w:t xml:space="preserve"> </w:t>
      </w:r>
      <w:sdt>
        <w:sdtPr>
          <w:rPr>
            <w:rFonts w:ascii="Verdana" w:hAnsi="Verdana"/>
          </w:rPr>
          <w:id w:val="1178920355"/>
          <w:citation/>
        </w:sdtPr>
        <w:sdtEndPr/>
        <w:sdtContent>
          <w:r w:rsidR="005155FF">
            <w:rPr>
              <w:rFonts w:ascii="Verdana" w:hAnsi="Verdana"/>
            </w:rPr>
            <w:fldChar w:fldCharType="begin"/>
          </w:r>
          <w:r w:rsidR="00B32831">
            <w:rPr>
              <w:rFonts w:ascii="Verdana" w:hAnsi="Verdana"/>
            </w:rPr>
            <w:instrText xml:space="preserve">CITATION Jun10 \l 1030 </w:instrText>
          </w:r>
          <w:r w:rsidR="005155FF">
            <w:rPr>
              <w:rFonts w:ascii="Verdana" w:hAnsi="Verdana"/>
            </w:rPr>
            <w:fldChar w:fldCharType="separate"/>
          </w:r>
          <w:r w:rsidR="006A0FEA" w:rsidRPr="006A0FEA">
            <w:rPr>
              <w:rFonts w:ascii="Verdana" w:hAnsi="Verdana"/>
              <w:noProof/>
            </w:rPr>
            <w:t>(Junge &amp; Skaksen, 2010)</w:t>
          </w:r>
          <w:r w:rsidR="005155FF">
            <w:rPr>
              <w:rFonts w:ascii="Verdana" w:hAnsi="Verdana"/>
            </w:rPr>
            <w:fldChar w:fldCharType="end"/>
          </w:r>
        </w:sdtContent>
      </w:sdt>
      <w:r w:rsidR="005155FF">
        <w:rPr>
          <w:rFonts w:ascii="Verdana" w:hAnsi="Verdana"/>
        </w:rPr>
        <w:t>.</w:t>
      </w:r>
    </w:p>
    <w:p w14:paraId="11A4FFB7" w14:textId="61073969" w:rsidR="005E15C5" w:rsidRDefault="00B32831" w:rsidP="00B32831">
      <w:pPr>
        <w:rPr>
          <w:rFonts w:ascii="Verdana" w:hAnsi="Verdana"/>
        </w:rPr>
      </w:pPr>
      <w:r>
        <w:rPr>
          <w:rFonts w:ascii="Verdana" w:hAnsi="Verdana"/>
        </w:rPr>
        <w:t xml:space="preserve">Samme tilgang anvendes i en senere udgivelse fra 2013, som er forfattet af Fosse mfl., der har titlen </w:t>
      </w:r>
      <w:r w:rsidRPr="00B32831">
        <w:rPr>
          <w:rFonts w:ascii="Verdana" w:hAnsi="Verdana"/>
          <w:i/>
        </w:rPr>
        <w:t>”Produktivitetseffekter af uddannelse og generelt uddannelsesløft i den private sektor”</w:t>
      </w:r>
      <w:r>
        <w:rPr>
          <w:rFonts w:ascii="Verdana" w:hAnsi="Verdana"/>
        </w:rPr>
        <w:t xml:space="preserve">. </w:t>
      </w:r>
      <w:r w:rsidR="00767FB5">
        <w:rPr>
          <w:rFonts w:ascii="Verdana" w:hAnsi="Verdana"/>
        </w:rPr>
        <w:t>Rapportens konklusioner er interessante, da udgangspunktet, som nævnt, er virksomhedernes produktivitetsniveau. Dette giver forfatterne mulighed for at analysere effekten af uddannelse på både den enkeltes løn samt for virksomheden som sådan. Således</w:t>
      </w:r>
      <w:r w:rsidR="00371D8E">
        <w:rPr>
          <w:rFonts w:ascii="Verdana" w:hAnsi="Verdana"/>
        </w:rPr>
        <w:t xml:space="preserve"> tager</w:t>
      </w:r>
      <w:r w:rsidR="00767FB5">
        <w:rPr>
          <w:rFonts w:ascii="Verdana" w:hAnsi="Verdana"/>
        </w:rPr>
        <w:t xml:space="preserve"> traditionelle analyser afsæt i antagelsen om,</w:t>
      </w:r>
      <w:r w:rsidR="005155FF">
        <w:rPr>
          <w:rFonts w:ascii="Verdana" w:hAnsi="Verdana"/>
        </w:rPr>
        <w:t xml:space="preserve"> at produktivitet</w:t>
      </w:r>
      <w:r w:rsidR="00371D8E">
        <w:rPr>
          <w:rFonts w:ascii="Verdana" w:hAnsi="Verdana"/>
        </w:rPr>
        <w:t xml:space="preserve"> kan</w:t>
      </w:r>
      <w:r w:rsidR="005155FF">
        <w:rPr>
          <w:rFonts w:ascii="Verdana" w:hAnsi="Verdana"/>
        </w:rPr>
        <w:t xml:space="preserve"> betragtes på et individplan, hvor produktivitetsniveauet er et udtryk for, hvor stor værdi den enkelte</w:t>
      </w:r>
      <w:r w:rsidR="00767FB5">
        <w:rPr>
          <w:rFonts w:ascii="Verdana" w:hAnsi="Verdana"/>
        </w:rPr>
        <w:t xml:space="preserve"> </w:t>
      </w:r>
      <w:r w:rsidR="005155FF">
        <w:rPr>
          <w:rFonts w:ascii="Verdana" w:hAnsi="Verdana"/>
        </w:rPr>
        <w:t xml:space="preserve">kan skabe pr arbejdstime. </w:t>
      </w:r>
      <w:r w:rsidR="00371D8E">
        <w:rPr>
          <w:rFonts w:ascii="Verdana" w:hAnsi="Verdana"/>
        </w:rPr>
        <w:t xml:space="preserve">Udgangspunktet </w:t>
      </w:r>
      <w:r w:rsidR="005155FF">
        <w:rPr>
          <w:rFonts w:ascii="Verdana" w:hAnsi="Verdana"/>
        </w:rPr>
        <w:t>medfører, at produktiviteten på lidt længere sigt afspejler sig i timelønningerne</w:t>
      </w:r>
      <w:r w:rsidR="00371D8E">
        <w:rPr>
          <w:rFonts w:ascii="Verdana" w:hAnsi="Verdana"/>
        </w:rPr>
        <w:t>, idet det sædvanligvis antages at</w:t>
      </w:r>
      <w:r w:rsidR="00BA1FBF">
        <w:rPr>
          <w:rFonts w:ascii="Verdana" w:hAnsi="Verdana"/>
        </w:rPr>
        <w:t xml:space="preserve"> lønmodtagere </w:t>
      </w:r>
      <w:r w:rsidR="00BA1FBF" w:rsidRPr="00B80D13">
        <w:rPr>
          <w:rFonts w:ascii="Verdana" w:hAnsi="Verdana"/>
        </w:rPr>
        <w:t>får en løn, der præcis afspejler den værdi, som de hver især har for den virksomhed, hvori de er ansat</w:t>
      </w:r>
      <w:r w:rsidR="00BA1FBF">
        <w:rPr>
          <w:rFonts w:ascii="Verdana" w:hAnsi="Verdana"/>
        </w:rPr>
        <w:t xml:space="preserve"> – vel at mærke hvis </w:t>
      </w:r>
      <w:r w:rsidR="009A7F01">
        <w:rPr>
          <w:rFonts w:ascii="Verdana" w:hAnsi="Verdana"/>
        </w:rPr>
        <w:t>d</w:t>
      </w:r>
      <w:r w:rsidR="00BA1FBF">
        <w:rPr>
          <w:rFonts w:ascii="Verdana" w:hAnsi="Verdana"/>
        </w:rPr>
        <w:t>er er fri løndannelse</w:t>
      </w:r>
      <w:r>
        <w:rPr>
          <w:rFonts w:ascii="Verdana" w:hAnsi="Verdana"/>
        </w:rPr>
        <w:t xml:space="preserve"> </w:t>
      </w:r>
      <w:sdt>
        <w:sdtPr>
          <w:rPr>
            <w:rFonts w:ascii="Verdana" w:hAnsi="Verdana"/>
          </w:rPr>
          <w:id w:val="585271517"/>
          <w:citation/>
        </w:sdtPr>
        <w:sdtEndPr/>
        <w:sdtContent>
          <w:r>
            <w:rPr>
              <w:rFonts w:ascii="Verdana" w:hAnsi="Verdana"/>
            </w:rPr>
            <w:fldChar w:fldCharType="begin"/>
          </w:r>
          <w:r>
            <w:rPr>
              <w:rFonts w:ascii="Verdana" w:hAnsi="Verdana"/>
            </w:rPr>
            <w:instrText xml:space="preserve"> CITATION Fos13 \l 1030 </w:instrText>
          </w:r>
          <w:r>
            <w:rPr>
              <w:rFonts w:ascii="Verdana" w:hAnsi="Verdana"/>
            </w:rPr>
            <w:fldChar w:fldCharType="separate"/>
          </w:r>
          <w:r w:rsidR="006A0FEA" w:rsidRPr="006A0FEA">
            <w:rPr>
              <w:rFonts w:ascii="Verdana" w:hAnsi="Verdana"/>
              <w:noProof/>
            </w:rPr>
            <w:t>(Fosse, et al., 2013)</w:t>
          </w:r>
          <w:r>
            <w:rPr>
              <w:rFonts w:ascii="Verdana" w:hAnsi="Verdana"/>
            </w:rPr>
            <w:fldChar w:fldCharType="end"/>
          </w:r>
        </w:sdtContent>
      </w:sdt>
      <w:r w:rsidR="00BA1FBF">
        <w:rPr>
          <w:rFonts w:ascii="Verdana" w:hAnsi="Verdana"/>
        </w:rPr>
        <w:t xml:space="preserve">. </w:t>
      </w:r>
    </w:p>
    <w:p w14:paraId="59E0458B" w14:textId="77777777" w:rsidR="00BE5537" w:rsidRDefault="00B32831" w:rsidP="00C73A61">
      <w:pPr>
        <w:rPr>
          <w:rFonts w:ascii="Verdana" w:hAnsi="Verdana"/>
        </w:rPr>
      </w:pPr>
      <w:r>
        <w:rPr>
          <w:rFonts w:ascii="Verdana" w:hAnsi="Verdana"/>
        </w:rPr>
        <w:lastRenderedPageBreak/>
        <w:t>Fosse mfl.</w:t>
      </w:r>
      <w:r w:rsidR="005155FF">
        <w:rPr>
          <w:rFonts w:ascii="Verdana" w:hAnsi="Verdana"/>
        </w:rPr>
        <w:t xml:space="preserve"> konkluderer imidlertid, at</w:t>
      </w:r>
      <w:r w:rsidR="00767FB5" w:rsidRPr="00767FB5">
        <w:rPr>
          <w:rFonts w:ascii="Verdana" w:hAnsi="Verdana"/>
        </w:rPr>
        <w:t xml:space="preserve"> uddannelse både er forbundet med en gevinst for den enkelte i form af højere løn (såkaldt </w:t>
      </w:r>
      <w:proofErr w:type="spellStart"/>
      <w:r w:rsidR="00767FB5" w:rsidRPr="00767FB5">
        <w:rPr>
          <w:rFonts w:ascii="Verdana" w:hAnsi="Verdana"/>
        </w:rPr>
        <w:t>egeneffekt</w:t>
      </w:r>
      <w:proofErr w:type="spellEnd"/>
      <w:r w:rsidR="00767FB5" w:rsidRPr="00767FB5">
        <w:rPr>
          <w:rFonts w:ascii="Verdana" w:hAnsi="Verdana"/>
        </w:rPr>
        <w:t xml:space="preserve">), men også </w:t>
      </w:r>
      <w:r w:rsidR="005155FF">
        <w:rPr>
          <w:rFonts w:ascii="Verdana" w:hAnsi="Verdana"/>
        </w:rPr>
        <w:t>betragtelig</w:t>
      </w:r>
      <w:r w:rsidR="00867971">
        <w:rPr>
          <w:rFonts w:ascii="Verdana" w:hAnsi="Verdana"/>
        </w:rPr>
        <w:t>e</w:t>
      </w:r>
      <w:r w:rsidR="005155FF">
        <w:rPr>
          <w:rFonts w:ascii="Verdana" w:hAnsi="Verdana"/>
        </w:rPr>
        <w:t xml:space="preserve"> effekt</w:t>
      </w:r>
      <w:r w:rsidR="00867971">
        <w:rPr>
          <w:rFonts w:ascii="Verdana" w:hAnsi="Verdana"/>
        </w:rPr>
        <w:t>er</w:t>
      </w:r>
      <w:r w:rsidR="005155FF">
        <w:rPr>
          <w:rFonts w:ascii="Verdana" w:hAnsi="Verdana"/>
        </w:rPr>
        <w:t xml:space="preserve"> </w:t>
      </w:r>
      <w:r w:rsidR="00767FB5" w:rsidRPr="00767FB5">
        <w:rPr>
          <w:rFonts w:ascii="Verdana" w:hAnsi="Verdana"/>
        </w:rPr>
        <w:t>for de virksomheder, der har personer med lange videregående uddannelser ansat (såkaldt fælleseffekt).</w:t>
      </w:r>
      <w:r w:rsidR="005155FF">
        <w:rPr>
          <w:rFonts w:ascii="Verdana" w:hAnsi="Verdana"/>
        </w:rPr>
        <w:t xml:space="preserve"> </w:t>
      </w:r>
      <w:r w:rsidR="00F01B4F">
        <w:rPr>
          <w:rFonts w:ascii="Verdana" w:hAnsi="Verdana"/>
        </w:rPr>
        <w:t>Fosse mfl.</w:t>
      </w:r>
      <w:r w:rsidR="005155FF">
        <w:rPr>
          <w:rFonts w:ascii="Verdana" w:hAnsi="Verdana"/>
        </w:rPr>
        <w:t xml:space="preserve"> konkluderer, at op mod </w:t>
      </w:r>
      <w:r w:rsidR="00AF6164">
        <w:rPr>
          <w:rFonts w:ascii="Verdana" w:hAnsi="Verdana"/>
        </w:rPr>
        <w:t>3/4</w:t>
      </w:r>
      <w:r w:rsidR="005155FF">
        <w:rPr>
          <w:rFonts w:ascii="Verdana" w:hAnsi="Verdana"/>
        </w:rPr>
        <w:t xml:space="preserve"> af den samlede produktivitetseffekt kan tilskrives</w:t>
      </w:r>
      <w:r w:rsidR="000D3E29">
        <w:rPr>
          <w:rFonts w:ascii="Verdana" w:hAnsi="Verdana"/>
        </w:rPr>
        <w:t xml:space="preserve"> fælleseffekten</w:t>
      </w:r>
      <w:r w:rsidR="00D72C64">
        <w:rPr>
          <w:rFonts w:ascii="Verdana" w:hAnsi="Verdana"/>
        </w:rPr>
        <w:t xml:space="preserve"> (</w:t>
      </w:r>
      <w:proofErr w:type="spellStart"/>
      <w:r w:rsidR="00D72C64">
        <w:rPr>
          <w:rFonts w:ascii="Verdana" w:hAnsi="Verdana"/>
        </w:rPr>
        <w:t>ibid</w:t>
      </w:r>
      <w:proofErr w:type="spellEnd"/>
      <w:r w:rsidR="00D72C64">
        <w:rPr>
          <w:rFonts w:ascii="Verdana" w:hAnsi="Verdana"/>
        </w:rPr>
        <w:t>)</w:t>
      </w:r>
      <w:r w:rsidR="00C73A61">
        <w:rPr>
          <w:rFonts w:ascii="Verdana" w:hAnsi="Verdana"/>
        </w:rPr>
        <w:t>.</w:t>
      </w:r>
      <w:r w:rsidR="0059560E">
        <w:rPr>
          <w:rFonts w:ascii="Verdana" w:hAnsi="Verdana"/>
        </w:rPr>
        <w:t xml:space="preserve"> Disse spillover-effekter anvendes ofte som argument for, at det offentlige skal subsidiere videregående uddannelser, da der er et samfundsøkonomisk potentiale ved, at flere højtuddannede generelt skaber mere produktive virksomheder. </w:t>
      </w:r>
      <w:r w:rsidR="00BE5537">
        <w:rPr>
          <w:rFonts w:ascii="Verdana" w:hAnsi="Verdana"/>
        </w:rPr>
        <w:t xml:space="preserve">Såvel Fosse mfl. Som Junge og Skaksen </w:t>
      </w:r>
      <w:sdt>
        <w:sdtPr>
          <w:rPr>
            <w:rFonts w:ascii="Verdana" w:hAnsi="Verdana"/>
          </w:rPr>
          <w:id w:val="-235486020"/>
          <w:citation/>
        </w:sdtPr>
        <w:sdtEndPr/>
        <w:sdtContent>
          <w:r w:rsidR="00BE5537">
            <w:rPr>
              <w:rFonts w:ascii="Verdana" w:hAnsi="Verdana"/>
            </w:rPr>
            <w:fldChar w:fldCharType="begin"/>
          </w:r>
          <w:r w:rsidR="00BE5537">
            <w:rPr>
              <w:rFonts w:ascii="Verdana" w:hAnsi="Verdana"/>
            </w:rPr>
            <w:instrText xml:space="preserve"> CITATION Jun10 \l 1030 </w:instrText>
          </w:r>
          <w:r w:rsidR="00BE5537">
            <w:rPr>
              <w:rFonts w:ascii="Verdana" w:hAnsi="Verdana"/>
            </w:rPr>
            <w:fldChar w:fldCharType="separate"/>
          </w:r>
          <w:r w:rsidR="00BE5537" w:rsidRPr="005D7B12">
            <w:rPr>
              <w:rFonts w:ascii="Verdana" w:hAnsi="Verdana"/>
              <w:noProof/>
            </w:rPr>
            <w:t>(Junge &amp; Skaksen, 2010)</w:t>
          </w:r>
          <w:r w:rsidR="00BE5537">
            <w:rPr>
              <w:rFonts w:ascii="Verdana" w:hAnsi="Verdana"/>
            </w:rPr>
            <w:fldChar w:fldCharType="end"/>
          </w:r>
        </w:sdtContent>
      </w:sdt>
      <w:r w:rsidR="00BE5537">
        <w:rPr>
          <w:rFonts w:ascii="Verdana" w:hAnsi="Verdana"/>
        </w:rPr>
        <w:t xml:space="preserve">, har dog en særlig udfordring. Nemlig den, at det ikke entydigt er muligt at kortlægge kausaliteten, når produktivitet undersøges på aggregeret niveau. Således er de bestemt en mulighed, at virksomheder, der har flere højtuddannede faktisk er mere produktive, netop på grund af, at de har flere højtuddannede ansatte. Men det er også muligt, at en virksomhed, der oplever stigende efterspørgsel både vil aflønne deres medarbejdere bedre og ansætte flere med længere uddannelser. Derved kan man fejlagtig komme til at konkludere, at det er de højtuddannede, som skaber produktivitetsstigning, selvom det reelt er et udtryk for en efterspørgselseffekt. Netop denne kausalitetsudfordring er underkastet særlig fokus i en </w:t>
      </w:r>
      <w:proofErr w:type="gramStart"/>
      <w:r w:rsidR="00BE5537">
        <w:rPr>
          <w:rFonts w:ascii="Verdana" w:hAnsi="Verdana"/>
        </w:rPr>
        <w:t>nyligt</w:t>
      </w:r>
      <w:proofErr w:type="gramEnd"/>
      <w:r w:rsidR="00BE5537">
        <w:rPr>
          <w:rFonts w:ascii="Verdana" w:hAnsi="Verdana"/>
        </w:rPr>
        <w:t xml:space="preserve"> udgivelse fra Rockwoolfondens Forskningsenhed og Syddansk Universitetsforlag. Her anvendes der langt mere detaljerede registerdata, hvilket gør forfatterne i stand til mere direkte at belyse, hvorvidt det findes en kausal sammenhæng mellem en virksomheds produktivitet og antallet af højtuddannede medarbejdere. Forfatterne konkluderer følgende:</w:t>
      </w:r>
    </w:p>
    <w:p w14:paraId="2E5BDCD1" w14:textId="6A57718B" w:rsidR="00663A34" w:rsidRPr="005D7B12" w:rsidRDefault="00BE5537" w:rsidP="005D7B12">
      <w:pPr>
        <w:ind w:left="1304"/>
        <w:rPr>
          <w:rFonts w:ascii="Verdana" w:hAnsi="Verdana"/>
          <w:i/>
        </w:rPr>
      </w:pPr>
      <w:r w:rsidRPr="005D7B12">
        <w:rPr>
          <w:rFonts w:ascii="Verdana" w:hAnsi="Verdana"/>
          <w:i/>
        </w:rPr>
        <w:t>Analysen viser, at der er positive spillover-effekter af at ansætte medarbejdere med kandidatgrader i danske virksomheder. Resultaterne fra grundmodellen viser således, at når et arbejdssted ansætter en ny medarbejder med en kandidatgrad, stiger timelønnen for alle øvrige medarbejdere i den pågældende stillingsgruppe på arbejdsstedet. Effekterne for den enkelte medarbejder er små, men fordi de gælder for alle medarbejdere i stillingsgruppen, kan de potentielt være af stor betydning samlet set</w:t>
      </w:r>
      <w:r>
        <w:rPr>
          <w:rFonts w:ascii="Verdana" w:hAnsi="Verdana"/>
          <w:i/>
        </w:rPr>
        <w:t xml:space="preserve"> </w:t>
      </w:r>
      <w:sdt>
        <w:sdtPr>
          <w:rPr>
            <w:rFonts w:ascii="Verdana" w:hAnsi="Verdana"/>
            <w:i/>
          </w:rPr>
          <w:id w:val="-863057603"/>
          <w:citation/>
        </w:sdtPr>
        <w:sdtEndPr/>
        <w:sdtContent>
          <w:r>
            <w:rPr>
              <w:rFonts w:ascii="Verdana" w:hAnsi="Verdana"/>
              <w:i/>
            </w:rPr>
            <w:fldChar w:fldCharType="begin"/>
          </w:r>
          <w:r>
            <w:rPr>
              <w:rFonts w:ascii="Verdana" w:hAnsi="Verdana"/>
              <w:i/>
            </w:rPr>
            <w:instrText xml:space="preserve"> CITATION And18 \l 1030 </w:instrText>
          </w:r>
          <w:r>
            <w:rPr>
              <w:rFonts w:ascii="Verdana" w:hAnsi="Verdana"/>
              <w:i/>
            </w:rPr>
            <w:fldChar w:fldCharType="separate"/>
          </w:r>
          <w:r w:rsidRPr="005D7B12">
            <w:rPr>
              <w:rFonts w:ascii="Verdana" w:hAnsi="Verdana"/>
              <w:noProof/>
            </w:rPr>
            <w:t>(Andersen, et al., 2018)</w:t>
          </w:r>
          <w:r>
            <w:rPr>
              <w:rFonts w:ascii="Verdana" w:hAnsi="Verdana"/>
              <w:i/>
            </w:rPr>
            <w:fldChar w:fldCharType="end"/>
          </w:r>
        </w:sdtContent>
      </w:sdt>
    </w:p>
    <w:p w14:paraId="2ADA9A5A" w14:textId="3853433B" w:rsidR="00BE5537" w:rsidRDefault="00BE5537" w:rsidP="00C73A61">
      <w:pPr>
        <w:rPr>
          <w:rFonts w:ascii="Verdana" w:hAnsi="Verdana"/>
        </w:rPr>
      </w:pPr>
      <w:r>
        <w:rPr>
          <w:rFonts w:ascii="Verdana" w:hAnsi="Verdana"/>
        </w:rPr>
        <w:t xml:space="preserve">Dermed må det konkluderes, at der, med al sandsynlighed, findes en fælleseffekt, men størrelsen af denne er langt fra givet. Derfor er der en sandsynlighed for, at analyser, som bygger på en fælleseffekt, der er estimeret på baggrund af aggregerede data, overvurderer produktivitetseffekten af uddannelse. </w:t>
      </w:r>
    </w:p>
    <w:p w14:paraId="1FC56533" w14:textId="5449CF76" w:rsidR="00D72C64" w:rsidRDefault="008C1CB6" w:rsidP="00C73A61">
      <w:pPr>
        <w:rPr>
          <w:rFonts w:ascii="Verdana" w:hAnsi="Verdana"/>
        </w:rPr>
      </w:pPr>
      <w:r>
        <w:rPr>
          <w:rFonts w:ascii="Verdana" w:hAnsi="Verdana"/>
        </w:rPr>
        <w:t xml:space="preserve">Et andet eksempel på en mulig analyse </w:t>
      </w:r>
      <w:r w:rsidR="008E79AD">
        <w:rPr>
          <w:rFonts w:ascii="Verdana" w:hAnsi="Verdana"/>
        </w:rPr>
        <w:t xml:space="preserve">af </w:t>
      </w:r>
      <w:r>
        <w:rPr>
          <w:rFonts w:ascii="Verdana" w:hAnsi="Verdana"/>
          <w:i/>
        </w:rPr>
        <w:t xml:space="preserve">kvantitetseffekten </w:t>
      </w:r>
      <w:r w:rsidR="00663A34">
        <w:rPr>
          <w:rFonts w:ascii="Verdana" w:hAnsi="Verdana"/>
        </w:rPr>
        <w:t xml:space="preserve">findes i Finansministeriets Finansredegørelse fra 2014, hvor der i kapitel 6 netop sættes fokus på sammenhængen mellem uddannelse, vækst og offentlige finanser </w:t>
      </w:r>
      <w:sdt>
        <w:sdtPr>
          <w:rPr>
            <w:rFonts w:ascii="Verdana" w:hAnsi="Verdana"/>
          </w:rPr>
          <w:id w:val="2070304918"/>
          <w:citation/>
        </w:sdtPr>
        <w:sdtEndPr/>
        <w:sdtContent>
          <w:r w:rsidR="00663A34">
            <w:rPr>
              <w:rFonts w:ascii="Verdana" w:hAnsi="Verdana"/>
            </w:rPr>
            <w:fldChar w:fldCharType="begin"/>
          </w:r>
          <w:r w:rsidR="00663A34">
            <w:rPr>
              <w:rFonts w:ascii="Verdana" w:hAnsi="Verdana"/>
            </w:rPr>
            <w:instrText xml:space="preserve"> CITATION Fin14 \l 1030 </w:instrText>
          </w:r>
          <w:r w:rsidR="00663A34">
            <w:rPr>
              <w:rFonts w:ascii="Verdana" w:hAnsi="Verdana"/>
            </w:rPr>
            <w:fldChar w:fldCharType="separate"/>
          </w:r>
          <w:r w:rsidR="006A0FEA" w:rsidRPr="006A0FEA">
            <w:rPr>
              <w:rFonts w:ascii="Verdana" w:hAnsi="Verdana"/>
              <w:noProof/>
            </w:rPr>
            <w:t>(Finansministeriet, 2014)</w:t>
          </w:r>
          <w:r w:rsidR="00663A34">
            <w:rPr>
              <w:rFonts w:ascii="Verdana" w:hAnsi="Verdana"/>
            </w:rPr>
            <w:fldChar w:fldCharType="end"/>
          </w:r>
        </w:sdtContent>
      </w:sdt>
      <w:r w:rsidR="00663A34">
        <w:rPr>
          <w:rFonts w:ascii="Verdana" w:hAnsi="Verdana"/>
        </w:rPr>
        <w:t>. I kapitlet foretages en estim</w:t>
      </w:r>
      <w:r w:rsidR="00442B9D">
        <w:rPr>
          <w:rFonts w:ascii="Verdana" w:hAnsi="Verdana"/>
        </w:rPr>
        <w:t>ering</w:t>
      </w:r>
      <w:r w:rsidR="00663A34">
        <w:rPr>
          <w:rFonts w:ascii="Verdana" w:hAnsi="Verdana"/>
        </w:rPr>
        <w:t xml:space="preserve"> af de forventede produktivitetsgevinster af uddannelse. Den empiriske analyse tager udgangspunkt i en modificeret specifikation af </w:t>
      </w:r>
      <w:proofErr w:type="spellStart"/>
      <w:r w:rsidR="00663A34">
        <w:rPr>
          <w:rFonts w:ascii="Verdana" w:hAnsi="Verdana"/>
        </w:rPr>
        <w:t>Mincers</w:t>
      </w:r>
      <w:proofErr w:type="spellEnd"/>
      <w:r w:rsidR="00663A34">
        <w:rPr>
          <w:rFonts w:ascii="Verdana" w:hAnsi="Verdana"/>
        </w:rPr>
        <w:t xml:space="preserve"> traditionelle Human Capital </w:t>
      </w:r>
      <w:proofErr w:type="spellStart"/>
      <w:r w:rsidR="00663A34">
        <w:rPr>
          <w:rFonts w:ascii="Verdana" w:hAnsi="Verdana"/>
        </w:rPr>
        <w:t>Earnings</w:t>
      </w:r>
      <w:proofErr w:type="spellEnd"/>
      <w:r w:rsidR="00663A34">
        <w:rPr>
          <w:rFonts w:ascii="Verdana" w:hAnsi="Verdana"/>
        </w:rPr>
        <w:t xml:space="preserve"> </w:t>
      </w:r>
      <w:proofErr w:type="spellStart"/>
      <w:r w:rsidR="00663A34">
        <w:rPr>
          <w:rFonts w:ascii="Verdana" w:hAnsi="Verdana"/>
        </w:rPr>
        <w:t>Function</w:t>
      </w:r>
      <w:proofErr w:type="spellEnd"/>
      <w:r w:rsidR="00663A34">
        <w:rPr>
          <w:rFonts w:ascii="Verdana" w:hAnsi="Verdana"/>
        </w:rPr>
        <w:t xml:space="preserve">. I modellen </w:t>
      </w:r>
      <w:r w:rsidR="005E15C5">
        <w:rPr>
          <w:rFonts w:ascii="Verdana" w:hAnsi="Verdana"/>
        </w:rPr>
        <w:t xml:space="preserve">søges timelønnen </w:t>
      </w:r>
      <w:r>
        <w:rPr>
          <w:rFonts w:ascii="Verdana" w:hAnsi="Verdana"/>
        </w:rPr>
        <w:t xml:space="preserve">(proxy for timeproduktiviteten) </w:t>
      </w:r>
      <w:r w:rsidR="00975F88">
        <w:rPr>
          <w:rFonts w:ascii="Verdana" w:hAnsi="Verdana"/>
        </w:rPr>
        <w:t>for den enkelte beskæftigede</w:t>
      </w:r>
      <w:r w:rsidR="005E15C5">
        <w:rPr>
          <w:rFonts w:ascii="Verdana" w:hAnsi="Verdana"/>
        </w:rPr>
        <w:t xml:space="preserve"> forklaret</w:t>
      </w:r>
      <w:r>
        <w:rPr>
          <w:rFonts w:ascii="Verdana" w:hAnsi="Verdana"/>
        </w:rPr>
        <w:t xml:space="preserve"> som en funktion af den enkelte persons højeste fuldførte uddannelse, arbejdsmarkedserfaring samt en række forskellige baggrundskarakteristika. I Finansministeriets analyse tages der imidlertid ikke højde for eventuelle indirekte effekter</w:t>
      </w:r>
      <w:r w:rsidR="0011667C">
        <w:rPr>
          <w:rFonts w:ascii="Verdana" w:hAnsi="Verdana"/>
        </w:rPr>
        <w:t>,</w:t>
      </w:r>
      <w:r>
        <w:rPr>
          <w:rFonts w:ascii="Verdana" w:hAnsi="Verdana"/>
        </w:rPr>
        <w:t xml:space="preserve"> som højtuddannede kan have på en virksomheds produktivitet</w:t>
      </w:r>
      <w:r w:rsidR="00975F88">
        <w:rPr>
          <w:rFonts w:ascii="Verdana" w:hAnsi="Verdana"/>
        </w:rPr>
        <w:t>, dvs. fælleseffekten</w:t>
      </w:r>
      <w:r>
        <w:rPr>
          <w:rFonts w:ascii="Verdana" w:hAnsi="Verdana"/>
        </w:rPr>
        <w:t xml:space="preserve">. Finansministeriet skriver i den forbindelse ”Sådanne indirekte effekter kan i princippet indebære, at den anvendte metode undervurderer effekterne af en forøgelse af uddannelsesniveauet” jf. </w:t>
      </w:r>
      <w:r w:rsidR="00B32831">
        <w:rPr>
          <w:rFonts w:ascii="Verdana" w:hAnsi="Verdana"/>
        </w:rPr>
        <w:t xml:space="preserve">Finansredegørelsen fra 2014 </w:t>
      </w:r>
      <w:r>
        <w:rPr>
          <w:rFonts w:ascii="Verdana" w:hAnsi="Verdana"/>
        </w:rPr>
        <w:t>s. 257.</w:t>
      </w:r>
      <w:r w:rsidR="00D72C64">
        <w:rPr>
          <w:rFonts w:ascii="Verdana" w:hAnsi="Verdana"/>
        </w:rPr>
        <w:t xml:space="preserve"> </w:t>
      </w:r>
    </w:p>
    <w:p w14:paraId="4E3CB65A" w14:textId="1B14FD57" w:rsidR="00D72C64" w:rsidRDefault="00D72C64" w:rsidP="00C73A61">
      <w:pPr>
        <w:rPr>
          <w:rFonts w:ascii="Verdana" w:hAnsi="Verdana"/>
        </w:rPr>
      </w:pPr>
      <w:r>
        <w:rPr>
          <w:rFonts w:ascii="Verdana" w:hAnsi="Verdana"/>
        </w:rPr>
        <w:t xml:space="preserve">Det fremgår endvidere, at der ikke er </w:t>
      </w:r>
      <w:r w:rsidR="00EF3ACC">
        <w:rPr>
          <w:rFonts w:ascii="Verdana" w:hAnsi="Verdana"/>
        </w:rPr>
        <w:t>stor</w:t>
      </w:r>
      <w:r>
        <w:rPr>
          <w:rFonts w:ascii="Verdana" w:hAnsi="Verdana"/>
        </w:rPr>
        <w:t xml:space="preserve"> forskel på hhv. resultaterne i Finansredegørelsen 2014 og </w:t>
      </w:r>
      <w:r w:rsidR="00B32831" w:rsidRPr="00B32831">
        <w:rPr>
          <w:rFonts w:ascii="Verdana" w:hAnsi="Verdana"/>
          <w:i/>
        </w:rPr>
        <w:t>”Produktivitetseffekter af uddannelse og generelt uddannelsesløft i den private sektor”</w:t>
      </w:r>
      <w:r w:rsidR="00B32831">
        <w:rPr>
          <w:rFonts w:ascii="Verdana" w:hAnsi="Verdana"/>
        </w:rPr>
        <w:t xml:space="preserve"> fra 2013</w:t>
      </w:r>
      <w:r>
        <w:rPr>
          <w:rFonts w:ascii="Verdana" w:hAnsi="Verdana"/>
        </w:rPr>
        <w:t>. Resultaterne af de to analyser er sammenlignet i tabellen nedenfor.</w:t>
      </w:r>
      <w:r w:rsidR="00EF3ACC">
        <w:rPr>
          <w:rFonts w:ascii="Verdana" w:hAnsi="Verdana"/>
        </w:rPr>
        <w:t xml:space="preserve"> Som det ses</w:t>
      </w:r>
      <w:r w:rsidR="007205BC">
        <w:rPr>
          <w:rFonts w:ascii="Verdana" w:hAnsi="Verdana"/>
        </w:rPr>
        <w:t>,</w:t>
      </w:r>
      <w:r w:rsidR="00EF3ACC">
        <w:rPr>
          <w:rFonts w:ascii="Verdana" w:hAnsi="Verdana"/>
        </w:rPr>
        <w:t xml:space="preserve"> er der en generel tendens til, at Finansministeriet vurder, at </w:t>
      </w:r>
      <w:proofErr w:type="spellStart"/>
      <w:r w:rsidR="00EF3ACC">
        <w:rPr>
          <w:rFonts w:ascii="Verdana" w:hAnsi="Verdana"/>
        </w:rPr>
        <w:t>egeneffekterne</w:t>
      </w:r>
      <w:proofErr w:type="spellEnd"/>
      <w:r w:rsidR="00EF3ACC">
        <w:rPr>
          <w:rFonts w:ascii="Verdana" w:hAnsi="Verdana"/>
        </w:rPr>
        <w:t xml:space="preserve"> (i hvert fald historisk) er større end </w:t>
      </w:r>
      <w:r w:rsidR="00B32831">
        <w:rPr>
          <w:rFonts w:ascii="Verdana" w:hAnsi="Verdana"/>
        </w:rPr>
        <w:t>Fosse mfl.</w:t>
      </w:r>
      <w:r w:rsidR="00EF3ACC">
        <w:rPr>
          <w:rFonts w:ascii="Verdana" w:hAnsi="Verdana"/>
        </w:rPr>
        <w:t xml:space="preserve"> </w:t>
      </w:r>
    </w:p>
    <w:p w14:paraId="5C544777" w14:textId="07ABE1A3" w:rsidR="00D72C64" w:rsidRPr="00D72C64" w:rsidRDefault="00D72C64" w:rsidP="00C73A61">
      <w:pPr>
        <w:rPr>
          <w:rFonts w:ascii="Verdana" w:hAnsi="Verdana"/>
          <w:i/>
        </w:rPr>
      </w:pPr>
      <w:r>
        <w:rPr>
          <w:rFonts w:ascii="Verdana" w:hAnsi="Verdana"/>
          <w:i/>
        </w:rPr>
        <w:t>Tabel 3: Produktivitetsgevinster af videregående uddannelser i forhold til erhvervsfaglige uddannelser – pct.</w:t>
      </w:r>
    </w:p>
    <w:tbl>
      <w:tblPr>
        <w:tblStyle w:val="LightShading"/>
        <w:tblW w:w="9213" w:type="dxa"/>
        <w:tblLook w:val="04A0" w:firstRow="1" w:lastRow="0" w:firstColumn="1" w:lastColumn="0" w:noHBand="0" w:noVBand="1"/>
      </w:tblPr>
      <w:tblGrid>
        <w:gridCol w:w="3686"/>
        <w:gridCol w:w="1842"/>
        <w:gridCol w:w="1842"/>
        <w:gridCol w:w="1843"/>
      </w:tblGrid>
      <w:tr w:rsidR="00D72C64" w14:paraId="7552D199" w14:textId="77777777" w:rsidTr="00EF3A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A9DA12" w14:textId="5FCD77CD" w:rsidR="00D72C64" w:rsidRPr="004970C3" w:rsidRDefault="00D72C64" w:rsidP="00C73A61">
            <w:pPr>
              <w:rPr>
                <w:rFonts w:ascii="Verdana" w:hAnsi="Verdana"/>
                <w:sz w:val="20"/>
                <w:szCs w:val="20"/>
              </w:rPr>
            </w:pPr>
            <w:r w:rsidRPr="004970C3">
              <w:rPr>
                <w:rFonts w:ascii="Verdana" w:hAnsi="Verdana"/>
                <w:sz w:val="20"/>
                <w:szCs w:val="20"/>
              </w:rPr>
              <w:t>Analyse</w:t>
            </w:r>
          </w:p>
        </w:tc>
        <w:tc>
          <w:tcPr>
            <w:tcW w:w="1842" w:type="dxa"/>
          </w:tcPr>
          <w:p w14:paraId="621FD83A" w14:textId="513CEE0E" w:rsidR="00D72C64" w:rsidRPr="004970C3" w:rsidRDefault="00D72C64"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KVU</w:t>
            </w:r>
          </w:p>
        </w:tc>
        <w:tc>
          <w:tcPr>
            <w:tcW w:w="1842" w:type="dxa"/>
          </w:tcPr>
          <w:p w14:paraId="7AB7144A" w14:textId="28875DA5" w:rsidR="00D72C64" w:rsidRPr="004970C3" w:rsidRDefault="00D72C64"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MVU</w:t>
            </w:r>
          </w:p>
        </w:tc>
        <w:tc>
          <w:tcPr>
            <w:tcW w:w="1843" w:type="dxa"/>
          </w:tcPr>
          <w:p w14:paraId="5C925850" w14:textId="0266C2FC" w:rsidR="00D72C64" w:rsidRPr="004970C3" w:rsidRDefault="00D72C64"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LVU</w:t>
            </w:r>
          </w:p>
        </w:tc>
      </w:tr>
      <w:tr w:rsidR="00D72C64" w14:paraId="47F8EDA4" w14:textId="77777777" w:rsidTr="00EF3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53FC0F0" w14:textId="423C9C92" w:rsidR="00D72C64" w:rsidRPr="004970C3" w:rsidRDefault="00AA5878" w:rsidP="00C73A61">
            <w:pPr>
              <w:rPr>
                <w:rFonts w:ascii="Verdana" w:hAnsi="Verdana"/>
                <w:sz w:val="20"/>
                <w:szCs w:val="20"/>
              </w:rPr>
            </w:pPr>
            <w:sdt>
              <w:sdtPr>
                <w:rPr>
                  <w:rFonts w:ascii="Verdana" w:hAnsi="Verdana"/>
                  <w:sz w:val="20"/>
                  <w:szCs w:val="20"/>
                </w:rPr>
                <w:id w:val="1670138880"/>
                <w:citation/>
              </w:sdtPr>
              <w:sdtEndPr/>
              <w:sdtContent>
                <w:r w:rsidR="00D72C64" w:rsidRPr="004970C3">
                  <w:rPr>
                    <w:rFonts w:ascii="Verdana" w:hAnsi="Verdana"/>
                    <w:sz w:val="20"/>
                    <w:szCs w:val="20"/>
                  </w:rPr>
                  <w:fldChar w:fldCharType="begin"/>
                </w:r>
                <w:r w:rsidR="00D72C64" w:rsidRPr="004970C3">
                  <w:rPr>
                    <w:rFonts w:ascii="Verdana" w:hAnsi="Verdana"/>
                    <w:sz w:val="20"/>
                    <w:szCs w:val="20"/>
                  </w:rPr>
                  <w:instrText xml:space="preserve"> CITATION Fin14 \l 1030 </w:instrText>
                </w:r>
                <w:r w:rsidR="00D72C64" w:rsidRPr="004970C3">
                  <w:rPr>
                    <w:rFonts w:ascii="Verdana" w:hAnsi="Verdana"/>
                    <w:sz w:val="20"/>
                    <w:szCs w:val="20"/>
                  </w:rPr>
                  <w:fldChar w:fldCharType="separate"/>
                </w:r>
                <w:r w:rsidR="006A0FEA" w:rsidRPr="006A0FEA">
                  <w:rPr>
                    <w:rFonts w:ascii="Verdana" w:hAnsi="Verdana"/>
                    <w:noProof/>
                    <w:sz w:val="20"/>
                    <w:szCs w:val="20"/>
                  </w:rPr>
                  <w:t>(Finansministeriet, 2014)</w:t>
                </w:r>
                <w:r w:rsidR="00D72C64" w:rsidRPr="004970C3">
                  <w:rPr>
                    <w:rFonts w:ascii="Verdana" w:hAnsi="Verdana"/>
                    <w:sz w:val="20"/>
                    <w:szCs w:val="20"/>
                  </w:rPr>
                  <w:fldChar w:fldCharType="end"/>
                </w:r>
              </w:sdtContent>
            </w:sdt>
          </w:p>
        </w:tc>
        <w:tc>
          <w:tcPr>
            <w:tcW w:w="1842" w:type="dxa"/>
          </w:tcPr>
          <w:p w14:paraId="79D96F75" w14:textId="21042412" w:rsidR="00D72C64" w:rsidRPr="004970C3" w:rsidRDefault="00D72C64" w:rsidP="00C73A6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970C3">
              <w:rPr>
                <w:rFonts w:ascii="Verdana" w:hAnsi="Verdana"/>
                <w:sz w:val="20"/>
                <w:szCs w:val="20"/>
              </w:rPr>
              <w:t>15</w:t>
            </w:r>
            <w:r w:rsidR="00EF3ACC" w:rsidRPr="004970C3">
              <w:rPr>
                <w:rFonts w:ascii="Verdana" w:hAnsi="Verdana"/>
                <w:sz w:val="20"/>
                <w:szCs w:val="20"/>
              </w:rPr>
              <w:t xml:space="preserve"> %</w:t>
            </w:r>
          </w:p>
        </w:tc>
        <w:tc>
          <w:tcPr>
            <w:tcW w:w="1842" w:type="dxa"/>
          </w:tcPr>
          <w:p w14:paraId="2595C528" w14:textId="57BBB6B0" w:rsidR="00D72C64" w:rsidRPr="004970C3" w:rsidRDefault="00D72C64" w:rsidP="00C73A6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970C3">
              <w:rPr>
                <w:rFonts w:ascii="Verdana" w:hAnsi="Verdana"/>
                <w:sz w:val="20"/>
                <w:szCs w:val="20"/>
              </w:rPr>
              <w:t>27</w:t>
            </w:r>
            <w:r w:rsidR="00EF3ACC" w:rsidRPr="004970C3">
              <w:rPr>
                <w:rFonts w:ascii="Verdana" w:hAnsi="Verdana"/>
                <w:sz w:val="20"/>
                <w:szCs w:val="20"/>
              </w:rPr>
              <w:t xml:space="preserve"> %</w:t>
            </w:r>
          </w:p>
        </w:tc>
        <w:tc>
          <w:tcPr>
            <w:tcW w:w="1843" w:type="dxa"/>
          </w:tcPr>
          <w:p w14:paraId="7DB94780" w14:textId="6C0A35E3" w:rsidR="00D72C64" w:rsidRPr="004970C3" w:rsidRDefault="00D72C64" w:rsidP="00C73A6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970C3">
              <w:rPr>
                <w:rFonts w:ascii="Verdana" w:hAnsi="Verdana"/>
                <w:sz w:val="20"/>
                <w:szCs w:val="20"/>
              </w:rPr>
              <w:t>41</w:t>
            </w:r>
            <w:r w:rsidR="00EF3ACC" w:rsidRPr="004970C3">
              <w:rPr>
                <w:rFonts w:ascii="Verdana" w:hAnsi="Verdana"/>
                <w:sz w:val="20"/>
                <w:szCs w:val="20"/>
              </w:rPr>
              <w:t xml:space="preserve"> %</w:t>
            </w:r>
          </w:p>
        </w:tc>
      </w:tr>
      <w:tr w:rsidR="00D72C64" w14:paraId="4784EB72" w14:textId="77777777" w:rsidTr="00EF3ACC">
        <w:tc>
          <w:tcPr>
            <w:cnfStyle w:val="001000000000" w:firstRow="0" w:lastRow="0" w:firstColumn="1" w:lastColumn="0" w:oddVBand="0" w:evenVBand="0" w:oddHBand="0" w:evenHBand="0" w:firstRowFirstColumn="0" w:firstRowLastColumn="0" w:lastRowFirstColumn="0" w:lastRowLastColumn="0"/>
            <w:tcW w:w="3686" w:type="dxa"/>
          </w:tcPr>
          <w:p w14:paraId="33C17509" w14:textId="487FFD11" w:rsidR="00D72C64" w:rsidRPr="004970C3" w:rsidRDefault="00AA5878" w:rsidP="00C73A61">
            <w:pPr>
              <w:rPr>
                <w:rFonts w:ascii="Verdana" w:hAnsi="Verdana"/>
                <w:sz w:val="20"/>
                <w:szCs w:val="20"/>
              </w:rPr>
            </w:pPr>
            <w:sdt>
              <w:sdtPr>
                <w:rPr>
                  <w:rFonts w:ascii="Verdana" w:hAnsi="Verdana"/>
                  <w:sz w:val="20"/>
                  <w:szCs w:val="20"/>
                </w:rPr>
                <w:id w:val="-1759977935"/>
                <w:citation/>
              </w:sdtPr>
              <w:sdtEndPr/>
              <w:sdtContent>
                <w:r w:rsidR="00975F88">
                  <w:rPr>
                    <w:rFonts w:ascii="Verdana" w:hAnsi="Verdana"/>
                    <w:sz w:val="20"/>
                    <w:szCs w:val="20"/>
                  </w:rPr>
                  <w:fldChar w:fldCharType="begin"/>
                </w:r>
                <w:r w:rsidR="00975F88">
                  <w:rPr>
                    <w:rFonts w:ascii="Verdana" w:hAnsi="Verdana"/>
                    <w:sz w:val="20"/>
                    <w:szCs w:val="20"/>
                  </w:rPr>
                  <w:instrText xml:space="preserve"> CITATION Fos13 \l 1030 </w:instrText>
                </w:r>
                <w:r w:rsidR="00975F88">
                  <w:rPr>
                    <w:rFonts w:ascii="Verdana" w:hAnsi="Verdana"/>
                    <w:sz w:val="20"/>
                    <w:szCs w:val="20"/>
                  </w:rPr>
                  <w:fldChar w:fldCharType="separate"/>
                </w:r>
                <w:r w:rsidR="00975F88" w:rsidRPr="00975F88">
                  <w:rPr>
                    <w:rFonts w:ascii="Verdana" w:hAnsi="Verdana"/>
                    <w:noProof/>
                    <w:sz w:val="20"/>
                    <w:szCs w:val="20"/>
                  </w:rPr>
                  <w:t>(Fosse, et al., 2013)</w:t>
                </w:r>
                <w:r w:rsidR="00975F88">
                  <w:rPr>
                    <w:rFonts w:ascii="Verdana" w:hAnsi="Verdana"/>
                    <w:sz w:val="20"/>
                    <w:szCs w:val="20"/>
                  </w:rPr>
                  <w:fldChar w:fldCharType="end"/>
                </w:r>
              </w:sdtContent>
            </w:sdt>
            <w:r w:rsidR="00EF3ACC" w:rsidRPr="004970C3">
              <w:rPr>
                <w:rFonts w:ascii="Verdana" w:hAnsi="Verdana"/>
                <w:sz w:val="20"/>
                <w:szCs w:val="20"/>
              </w:rPr>
              <w:t xml:space="preserve">, kun </w:t>
            </w:r>
            <w:proofErr w:type="spellStart"/>
            <w:r w:rsidR="00EF3ACC" w:rsidRPr="004970C3">
              <w:rPr>
                <w:rFonts w:ascii="Verdana" w:hAnsi="Verdana"/>
                <w:sz w:val="20"/>
                <w:szCs w:val="20"/>
              </w:rPr>
              <w:t>egeneffekten</w:t>
            </w:r>
            <w:proofErr w:type="spellEnd"/>
          </w:p>
        </w:tc>
        <w:tc>
          <w:tcPr>
            <w:tcW w:w="1842" w:type="dxa"/>
          </w:tcPr>
          <w:p w14:paraId="1FB3A68D" w14:textId="56A2643A" w:rsidR="00D72C64" w:rsidRPr="004970C3" w:rsidRDefault="00D72C64" w:rsidP="00C73A6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10</w:t>
            </w:r>
            <w:r w:rsidR="00EF3ACC" w:rsidRPr="004970C3">
              <w:rPr>
                <w:rFonts w:ascii="Verdana" w:hAnsi="Verdana"/>
                <w:sz w:val="20"/>
                <w:szCs w:val="20"/>
              </w:rPr>
              <w:t xml:space="preserve"> %</w:t>
            </w:r>
          </w:p>
        </w:tc>
        <w:tc>
          <w:tcPr>
            <w:tcW w:w="1842" w:type="dxa"/>
          </w:tcPr>
          <w:p w14:paraId="4A091F40" w14:textId="614F4621" w:rsidR="00D72C64" w:rsidRPr="004970C3" w:rsidRDefault="00D72C64" w:rsidP="00C73A6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25</w:t>
            </w:r>
            <w:r w:rsidR="00EF3ACC" w:rsidRPr="004970C3">
              <w:rPr>
                <w:rFonts w:ascii="Verdana" w:hAnsi="Verdana"/>
                <w:sz w:val="20"/>
                <w:szCs w:val="20"/>
              </w:rPr>
              <w:t xml:space="preserve"> %</w:t>
            </w:r>
          </w:p>
        </w:tc>
        <w:tc>
          <w:tcPr>
            <w:tcW w:w="1843" w:type="dxa"/>
          </w:tcPr>
          <w:p w14:paraId="5B00C4A6" w14:textId="6533CDF6" w:rsidR="00D72C64" w:rsidRPr="004970C3" w:rsidRDefault="00D72C64" w:rsidP="00C73A6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35</w:t>
            </w:r>
            <w:r w:rsidR="00EF3ACC" w:rsidRPr="004970C3">
              <w:rPr>
                <w:rFonts w:ascii="Verdana" w:hAnsi="Verdana"/>
                <w:sz w:val="20"/>
                <w:szCs w:val="20"/>
              </w:rPr>
              <w:t xml:space="preserve"> %</w:t>
            </w:r>
          </w:p>
        </w:tc>
      </w:tr>
      <w:tr w:rsidR="00EF3ACC" w14:paraId="37754A04" w14:textId="77777777" w:rsidTr="00EF3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AEB2F9A" w14:textId="0C446471" w:rsidR="00EF3ACC" w:rsidRPr="004970C3" w:rsidRDefault="00AA5878" w:rsidP="00C73A61">
            <w:pPr>
              <w:rPr>
                <w:rFonts w:ascii="Verdana" w:hAnsi="Verdana"/>
                <w:sz w:val="20"/>
                <w:szCs w:val="20"/>
              </w:rPr>
            </w:pPr>
            <w:sdt>
              <w:sdtPr>
                <w:rPr>
                  <w:rFonts w:ascii="Verdana" w:hAnsi="Verdana"/>
                  <w:sz w:val="20"/>
                  <w:szCs w:val="20"/>
                </w:rPr>
                <w:id w:val="-859585456"/>
                <w:citation/>
              </w:sdtPr>
              <w:sdtEndPr/>
              <w:sdtContent>
                <w:r w:rsidR="00975F88">
                  <w:rPr>
                    <w:rFonts w:ascii="Verdana" w:hAnsi="Verdana"/>
                    <w:sz w:val="20"/>
                    <w:szCs w:val="20"/>
                  </w:rPr>
                  <w:fldChar w:fldCharType="begin"/>
                </w:r>
                <w:r w:rsidR="00975F88">
                  <w:rPr>
                    <w:rFonts w:ascii="Verdana" w:hAnsi="Verdana"/>
                    <w:sz w:val="20"/>
                    <w:szCs w:val="20"/>
                  </w:rPr>
                  <w:instrText xml:space="preserve"> CITATION Fos13 \l 1030 </w:instrText>
                </w:r>
                <w:r w:rsidR="00975F88">
                  <w:rPr>
                    <w:rFonts w:ascii="Verdana" w:hAnsi="Verdana"/>
                    <w:sz w:val="20"/>
                    <w:szCs w:val="20"/>
                  </w:rPr>
                  <w:fldChar w:fldCharType="separate"/>
                </w:r>
                <w:r w:rsidR="00975F88" w:rsidRPr="00975F88">
                  <w:rPr>
                    <w:rFonts w:ascii="Verdana" w:hAnsi="Verdana"/>
                    <w:noProof/>
                    <w:sz w:val="20"/>
                    <w:szCs w:val="20"/>
                  </w:rPr>
                  <w:t>(Fosse, et al., 2013)</w:t>
                </w:r>
                <w:r w:rsidR="00975F88">
                  <w:rPr>
                    <w:rFonts w:ascii="Verdana" w:hAnsi="Verdana"/>
                    <w:sz w:val="20"/>
                    <w:szCs w:val="20"/>
                  </w:rPr>
                  <w:fldChar w:fldCharType="end"/>
                </w:r>
              </w:sdtContent>
            </w:sdt>
            <w:r w:rsidR="00EF3ACC" w:rsidRPr="004970C3">
              <w:rPr>
                <w:rFonts w:ascii="Verdana" w:hAnsi="Verdana"/>
                <w:sz w:val="20"/>
                <w:szCs w:val="20"/>
              </w:rPr>
              <w:t xml:space="preserve">, både </w:t>
            </w:r>
            <w:proofErr w:type="spellStart"/>
            <w:r w:rsidR="00EF3ACC" w:rsidRPr="004970C3">
              <w:rPr>
                <w:rFonts w:ascii="Verdana" w:hAnsi="Verdana"/>
                <w:sz w:val="20"/>
                <w:szCs w:val="20"/>
              </w:rPr>
              <w:t>egeneffekt</w:t>
            </w:r>
            <w:proofErr w:type="spellEnd"/>
            <w:r w:rsidR="00EF3ACC" w:rsidRPr="004970C3">
              <w:rPr>
                <w:rFonts w:ascii="Verdana" w:hAnsi="Verdana"/>
                <w:sz w:val="20"/>
                <w:szCs w:val="20"/>
              </w:rPr>
              <w:t xml:space="preserve"> og fælleseffekt</w:t>
            </w:r>
          </w:p>
        </w:tc>
        <w:tc>
          <w:tcPr>
            <w:tcW w:w="1842" w:type="dxa"/>
          </w:tcPr>
          <w:p w14:paraId="3B8E1371" w14:textId="4428CA65" w:rsidR="00EF3ACC" w:rsidRPr="004970C3" w:rsidRDefault="00EF3ACC" w:rsidP="00C73A6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970C3">
              <w:rPr>
                <w:rFonts w:ascii="Verdana" w:hAnsi="Verdana"/>
                <w:sz w:val="20"/>
                <w:szCs w:val="20"/>
              </w:rPr>
              <w:t>62 %</w:t>
            </w:r>
          </w:p>
        </w:tc>
        <w:tc>
          <w:tcPr>
            <w:tcW w:w="1842" w:type="dxa"/>
          </w:tcPr>
          <w:p w14:paraId="548CB07D" w14:textId="27EF3EBF" w:rsidR="00EF3ACC" w:rsidRPr="004970C3" w:rsidRDefault="00EF3ACC" w:rsidP="00C73A6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970C3">
              <w:rPr>
                <w:rFonts w:ascii="Verdana" w:hAnsi="Verdana"/>
                <w:sz w:val="20"/>
                <w:szCs w:val="20"/>
              </w:rPr>
              <w:t>104 %</w:t>
            </w:r>
          </w:p>
        </w:tc>
        <w:tc>
          <w:tcPr>
            <w:tcW w:w="1843" w:type="dxa"/>
          </w:tcPr>
          <w:p w14:paraId="345B8E77" w14:textId="24C82B1C" w:rsidR="00EF3ACC" w:rsidRPr="004970C3" w:rsidRDefault="00EF3ACC" w:rsidP="00C73A6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970C3">
              <w:rPr>
                <w:rFonts w:ascii="Verdana" w:hAnsi="Verdana"/>
                <w:sz w:val="20"/>
                <w:szCs w:val="20"/>
              </w:rPr>
              <w:t>140 %</w:t>
            </w:r>
          </w:p>
        </w:tc>
      </w:tr>
    </w:tbl>
    <w:p w14:paraId="788E64B6" w14:textId="7BE2AC56" w:rsidR="00663A34" w:rsidRPr="006A0FEA" w:rsidRDefault="00D72C64" w:rsidP="00EF3ACC">
      <w:pPr>
        <w:pStyle w:val="NoSpacing"/>
        <w:rPr>
          <w:rFonts w:ascii="Verdana" w:hAnsi="Verdana"/>
          <w:sz w:val="20"/>
        </w:rPr>
      </w:pPr>
      <w:proofErr w:type="spellStart"/>
      <w:r w:rsidRPr="006A0FEA">
        <w:rPr>
          <w:rFonts w:ascii="Verdana" w:hAnsi="Verdana"/>
          <w:sz w:val="20"/>
        </w:rPr>
        <w:t>Anm</w:t>
      </w:r>
      <w:proofErr w:type="spellEnd"/>
      <w:r w:rsidRPr="006A0FEA">
        <w:rPr>
          <w:rFonts w:ascii="Verdana" w:hAnsi="Verdana"/>
          <w:sz w:val="20"/>
        </w:rPr>
        <w:t>: Gevinsten er angivet i pct.</w:t>
      </w:r>
      <w:r w:rsidR="00EF3ACC" w:rsidRPr="006A0FEA">
        <w:rPr>
          <w:rFonts w:ascii="Verdana" w:hAnsi="Verdana"/>
          <w:sz w:val="20"/>
        </w:rPr>
        <w:t xml:space="preserve"> ift. </w:t>
      </w:r>
      <w:proofErr w:type="gramStart"/>
      <w:r w:rsidR="00EF3ACC" w:rsidRPr="006A0FEA">
        <w:rPr>
          <w:rFonts w:ascii="Verdana" w:hAnsi="Verdana"/>
          <w:sz w:val="20"/>
        </w:rPr>
        <w:t>erhvervsfaglige uddannelser.</w:t>
      </w:r>
      <w:proofErr w:type="gramEnd"/>
      <w:r w:rsidR="00EF3ACC" w:rsidRPr="006A0FEA">
        <w:rPr>
          <w:rFonts w:ascii="Verdana" w:hAnsi="Verdana"/>
          <w:sz w:val="20"/>
        </w:rPr>
        <w:t xml:space="preserve"> </w:t>
      </w:r>
    </w:p>
    <w:p w14:paraId="651AE260" w14:textId="28B581C9" w:rsidR="00EF3ACC" w:rsidRPr="006A0FEA" w:rsidRDefault="00EF3ACC" w:rsidP="00EF3ACC">
      <w:pPr>
        <w:pStyle w:val="NoSpacing"/>
        <w:rPr>
          <w:rFonts w:ascii="Verdana" w:hAnsi="Verdana"/>
          <w:sz w:val="20"/>
        </w:rPr>
      </w:pPr>
      <w:r w:rsidRPr="006A0FEA">
        <w:rPr>
          <w:rFonts w:ascii="Verdana" w:hAnsi="Verdana"/>
          <w:sz w:val="20"/>
        </w:rPr>
        <w:t xml:space="preserve">Kilde: </w:t>
      </w:r>
      <w:sdt>
        <w:sdtPr>
          <w:rPr>
            <w:rFonts w:ascii="Verdana" w:hAnsi="Verdana"/>
            <w:sz w:val="20"/>
          </w:rPr>
          <w:id w:val="1420831593"/>
          <w:citation/>
        </w:sdtPr>
        <w:sdtEndPr/>
        <w:sdtContent>
          <w:r w:rsidRPr="006A0FEA">
            <w:rPr>
              <w:rFonts w:ascii="Verdana" w:hAnsi="Verdana"/>
              <w:sz w:val="20"/>
            </w:rPr>
            <w:fldChar w:fldCharType="begin"/>
          </w:r>
          <w:r w:rsidRPr="006A0FEA">
            <w:rPr>
              <w:rFonts w:ascii="Verdana" w:hAnsi="Verdana"/>
              <w:sz w:val="20"/>
            </w:rPr>
            <w:instrText xml:space="preserve"> CITATION Fin14 \l 1030 </w:instrText>
          </w:r>
          <w:r w:rsidRPr="006A0FEA">
            <w:rPr>
              <w:rFonts w:ascii="Verdana" w:hAnsi="Verdana"/>
              <w:sz w:val="20"/>
            </w:rPr>
            <w:fldChar w:fldCharType="separate"/>
          </w:r>
          <w:r w:rsidR="006A0FEA" w:rsidRPr="006A0FEA">
            <w:rPr>
              <w:rFonts w:ascii="Verdana" w:hAnsi="Verdana"/>
              <w:noProof/>
              <w:sz w:val="20"/>
            </w:rPr>
            <w:t>(Finansministeriet, 2014)</w:t>
          </w:r>
          <w:r w:rsidRPr="006A0FEA">
            <w:rPr>
              <w:rFonts w:ascii="Verdana" w:hAnsi="Verdana"/>
              <w:sz w:val="20"/>
            </w:rPr>
            <w:fldChar w:fldCharType="end"/>
          </w:r>
        </w:sdtContent>
      </w:sdt>
      <w:r w:rsidRPr="006A0FEA">
        <w:rPr>
          <w:rFonts w:ascii="Verdana" w:hAnsi="Verdana"/>
          <w:sz w:val="20"/>
        </w:rPr>
        <w:t xml:space="preserve"> s. 259 og</w:t>
      </w:r>
      <w:r w:rsidR="00B32831" w:rsidRPr="006A0FEA">
        <w:rPr>
          <w:rFonts w:ascii="Verdana" w:hAnsi="Verdana"/>
          <w:sz w:val="20"/>
        </w:rPr>
        <w:t xml:space="preserve"> </w:t>
      </w:r>
      <w:sdt>
        <w:sdtPr>
          <w:rPr>
            <w:rFonts w:ascii="Verdana" w:hAnsi="Verdana"/>
            <w:sz w:val="20"/>
          </w:rPr>
          <w:id w:val="-1123454574"/>
          <w:citation/>
        </w:sdtPr>
        <w:sdtEndPr/>
        <w:sdtContent>
          <w:r w:rsidR="00B32831" w:rsidRPr="006A0FEA">
            <w:rPr>
              <w:rFonts w:ascii="Verdana" w:hAnsi="Verdana"/>
              <w:sz w:val="20"/>
            </w:rPr>
            <w:fldChar w:fldCharType="begin"/>
          </w:r>
          <w:r w:rsidR="00B32831" w:rsidRPr="006A0FEA">
            <w:rPr>
              <w:rFonts w:ascii="Verdana" w:hAnsi="Verdana"/>
              <w:sz w:val="20"/>
            </w:rPr>
            <w:instrText xml:space="preserve"> CITATION Fos13 \l 1030 </w:instrText>
          </w:r>
          <w:r w:rsidR="00B32831" w:rsidRPr="006A0FEA">
            <w:rPr>
              <w:rFonts w:ascii="Verdana" w:hAnsi="Verdana"/>
              <w:sz w:val="20"/>
            </w:rPr>
            <w:fldChar w:fldCharType="separate"/>
          </w:r>
          <w:r w:rsidR="006A0FEA" w:rsidRPr="006A0FEA">
            <w:rPr>
              <w:rFonts w:ascii="Verdana" w:hAnsi="Verdana"/>
              <w:noProof/>
              <w:sz w:val="20"/>
            </w:rPr>
            <w:t>(Fosse, et al., 2013)</w:t>
          </w:r>
          <w:r w:rsidR="00B32831" w:rsidRPr="006A0FEA">
            <w:rPr>
              <w:rFonts w:ascii="Verdana" w:hAnsi="Verdana"/>
              <w:sz w:val="20"/>
            </w:rPr>
            <w:fldChar w:fldCharType="end"/>
          </w:r>
        </w:sdtContent>
      </w:sdt>
      <w:r w:rsidRPr="006A0FEA">
        <w:rPr>
          <w:rFonts w:ascii="Verdana" w:hAnsi="Verdana"/>
          <w:sz w:val="20"/>
        </w:rPr>
        <w:t xml:space="preserve">s. 5. </w:t>
      </w:r>
    </w:p>
    <w:p w14:paraId="7AD3CB85" w14:textId="10EE8965" w:rsidR="00D72C64" w:rsidRDefault="00D72C64" w:rsidP="00C73A61">
      <w:pPr>
        <w:rPr>
          <w:rFonts w:ascii="Verdana" w:hAnsi="Verdana"/>
        </w:rPr>
      </w:pPr>
    </w:p>
    <w:p w14:paraId="43C45724" w14:textId="3E466362" w:rsidR="00EF3ACC" w:rsidRDefault="00EF3ACC" w:rsidP="00C73A61">
      <w:pPr>
        <w:rPr>
          <w:rFonts w:ascii="Verdana" w:hAnsi="Verdana"/>
        </w:rPr>
      </w:pPr>
      <w:r>
        <w:rPr>
          <w:rFonts w:ascii="Verdana" w:hAnsi="Verdana"/>
        </w:rPr>
        <w:t xml:space="preserve">Det er imidlertid klart, at Finansministeriet kraftigt undervurderer produktivitetseffekterne af uddannelse, når der ikke tages højde for fælleseffekten. Det fremgår tydeligt </w:t>
      </w:r>
      <w:r w:rsidR="00AF6164">
        <w:rPr>
          <w:rFonts w:ascii="Verdana" w:hAnsi="Verdana"/>
        </w:rPr>
        <w:t xml:space="preserve">af tredje linje </w:t>
      </w:r>
      <w:r w:rsidR="009A7F01">
        <w:rPr>
          <w:rFonts w:ascii="Verdana" w:hAnsi="Verdana"/>
        </w:rPr>
        <w:t>i</w:t>
      </w:r>
      <w:r w:rsidR="00855C3B">
        <w:rPr>
          <w:rFonts w:ascii="Verdana" w:hAnsi="Verdana"/>
        </w:rPr>
        <w:t xml:space="preserve"> </w:t>
      </w:r>
      <w:r w:rsidR="00AF6164">
        <w:rPr>
          <w:rFonts w:ascii="Verdana" w:hAnsi="Verdana"/>
        </w:rPr>
        <w:t xml:space="preserve">Tabel 3 ovenfor. Endvidere viser </w:t>
      </w:r>
      <w:r w:rsidR="009D0046">
        <w:rPr>
          <w:rFonts w:ascii="Verdana" w:hAnsi="Verdana"/>
        </w:rPr>
        <w:t xml:space="preserve">resultaterne i begge analyser, at produktivitetsgevinsterne i høj grad afhænger af den specifikke type af videregående uddannelse. I </w:t>
      </w:r>
      <w:r w:rsidR="00B32831">
        <w:rPr>
          <w:rFonts w:ascii="Verdana" w:hAnsi="Verdana"/>
        </w:rPr>
        <w:t>d</w:t>
      </w:r>
      <w:r w:rsidR="009D0046">
        <w:rPr>
          <w:rFonts w:ascii="Verdana" w:hAnsi="Verdana"/>
        </w:rPr>
        <w:t>et følgende fokuseres der alene på de lange videregående uddannelser, da</w:t>
      </w:r>
      <w:r w:rsidR="005D1002">
        <w:rPr>
          <w:rFonts w:ascii="Verdana" w:hAnsi="Verdana"/>
        </w:rPr>
        <w:t xml:space="preserve"> det konkrete</w:t>
      </w:r>
      <w:r w:rsidR="009D0046">
        <w:rPr>
          <w:rFonts w:ascii="Verdana" w:hAnsi="Verdana"/>
        </w:rPr>
        <w:t xml:space="preserve"> politikeksperiment</w:t>
      </w:r>
      <w:r w:rsidR="005D1002">
        <w:rPr>
          <w:rFonts w:ascii="Verdana" w:hAnsi="Verdana"/>
        </w:rPr>
        <w:t>, som analyseres,</w:t>
      </w:r>
      <w:r w:rsidR="009D0046">
        <w:rPr>
          <w:rFonts w:ascii="Verdana" w:hAnsi="Verdana"/>
        </w:rPr>
        <w:t xml:space="preserve"> netop </w:t>
      </w:r>
      <w:r w:rsidR="007205BC">
        <w:rPr>
          <w:rFonts w:ascii="Verdana" w:hAnsi="Verdana"/>
        </w:rPr>
        <w:t>undersøger effekten</w:t>
      </w:r>
      <w:r w:rsidR="009D0046">
        <w:rPr>
          <w:rFonts w:ascii="Verdana" w:hAnsi="Verdana"/>
        </w:rPr>
        <w:t xml:space="preserve"> </w:t>
      </w:r>
      <w:r w:rsidR="00D64217">
        <w:rPr>
          <w:rFonts w:ascii="Verdana" w:hAnsi="Verdana"/>
        </w:rPr>
        <w:t xml:space="preserve">af </w:t>
      </w:r>
      <w:r w:rsidR="007205BC">
        <w:rPr>
          <w:rFonts w:ascii="Verdana" w:hAnsi="Verdana"/>
        </w:rPr>
        <w:t>at give flere mennesker</w:t>
      </w:r>
      <w:r w:rsidR="009D0046">
        <w:rPr>
          <w:rFonts w:ascii="Verdana" w:hAnsi="Verdana"/>
        </w:rPr>
        <w:t xml:space="preserve"> en lang</w:t>
      </w:r>
      <w:r w:rsidR="005D1002">
        <w:rPr>
          <w:rFonts w:ascii="Verdana" w:hAnsi="Verdana"/>
        </w:rPr>
        <w:t xml:space="preserve"> videregående uddannelse.</w:t>
      </w:r>
      <w:r w:rsidR="004970C3">
        <w:rPr>
          <w:rFonts w:ascii="Verdana" w:hAnsi="Verdana"/>
        </w:rPr>
        <w:t xml:space="preserve"> I Finansredegørelsen </w:t>
      </w:r>
      <w:r w:rsidR="00B32831">
        <w:rPr>
          <w:rFonts w:ascii="Verdana" w:hAnsi="Verdana"/>
        </w:rPr>
        <w:t xml:space="preserve">fra 2014 </w:t>
      </w:r>
      <w:r w:rsidR="004970C3">
        <w:rPr>
          <w:rFonts w:ascii="Verdana" w:hAnsi="Verdana"/>
        </w:rPr>
        <w:t xml:space="preserve">angives gevinsten for hver enkelt lang videregående uddannelse ikke i forhold </w:t>
      </w:r>
      <w:r w:rsidR="004970C3">
        <w:rPr>
          <w:rFonts w:ascii="Verdana" w:hAnsi="Verdana"/>
        </w:rPr>
        <w:lastRenderedPageBreak/>
        <w:t xml:space="preserve">til en erhvervsfaglig uddannelse, derfor er resultaterne alene vist fra </w:t>
      </w:r>
      <w:r w:rsidR="00B32831">
        <w:rPr>
          <w:rFonts w:ascii="Verdana" w:hAnsi="Verdana"/>
        </w:rPr>
        <w:t>Fosse mfl.</w:t>
      </w:r>
      <w:r w:rsidR="004970C3">
        <w:rPr>
          <w:rFonts w:ascii="Verdana" w:hAnsi="Verdana"/>
        </w:rPr>
        <w:t xml:space="preserve"> Som det fremgår af Tabel 4 er særligt de samfundsvidenskabelige og sundhedsvidenskabelige uddannelse</w:t>
      </w:r>
      <w:r w:rsidR="009A7F01">
        <w:rPr>
          <w:rFonts w:ascii="Verdana" w:hAnsi="Verdana"/>
        </w:rPr>
        <w:t>r</w:t>
      </w:r>
      <w:r w:rsidR="004970C3">
        <w:rPr>
          <w:rFonts w:ascii="Verdana" w:hAnsi="Verdana"/>
        </w:rPr>
        <w:t xml:space="preserve"> meget produktive. Dette billede understøttes af resultaterne af Finansministeriets analyse af produktivitetsgevinsterne af lange videregående uddannelser i forhold til korte og mellemlange videregående uddannelser. Også i denne analyse er de sundhedsvidenskabelige uddannelser de mest produktive</w:t>
      </w:r>
      <w:r w:rsidR="009A7F01">
        <w:rPr>
          <w:rFonts w:ascii="Verdana" w:hAnsi="Verdana"/>
        </w:rPr>
        <w:t>,</w:t>
      </w:r>
      <w:r w:rsidR="004970C3">
        <w:rPr>
          <w:rFonts w:ascii="Verdana" w:hAnsi="Verdana"/>
        </w:rPr>
        <w:t xml:space="preserve"> skarpt forfulgt af de samfundsvidenskabelige lange videregående uddannelser.</w:t>
      </w:r>
    </w:p>
    <w:p w14:paraId="4B9EB52C" w14:textId="18782515" w:rsidR="005D1002" w:rsidRPr="004970C3" w:rsidRDefault="004970C3" w:rsidP="00C73A61">
      <w:pPr>
        <w:rPr>
          <w:rFonts w:ascii="Verdana" w:hAnsi="Verdana"/>
          <w:i/>
        </w:rPr>
      </w:pPr>
      <w:r>
        <w:rPr>
          <w:rFonts w:ascii="Verdana" w:hAnsi="Verdana"/>
          <w:i/>
        </w:rPr>
        <w:t>Tabel 4: Produktivitetsgevinster af forskellige lange videregående uddannelser i forhold til erhvervsfaglige uddannelser – pct.</w:t>
      </w:r>
    </w:p>
    <w:tbl>
      <w:tblPr>
        <w:tblStyle w:val="LightShading"/>
        <w:tblW w:w="9186" w:type="dxa"/>
        <w:tblLook w:val="04A0" w:firstRow="1" w:lastRow="0" w:firstColumn="1" w:lastColumn="0" w:noHBand="0" w:noVBand="1"/>
      </w:tblPr>
      <w:tblGrid>
        <w:gridCol w:w="4096"/>
        <w:gridCol w:w="1272"/>
        <w:gridCol w:w="1273"/>
        <w:gridCol w:w="1272"/>
        <w:gridCol w:w="1273"/>
      </w:tblGrid>
      <w:tr w:rsidR="005D1002" w14:paraId="7C6F2C4E" w14:textId="3948174B" w:rsidTr="005D1002">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096" w:type="dxa"/>
          </w:tcPr>
          <w:p w14:paraId="33BB49EC" w14:textId="77777777" w:rsidR="005D1002" w:rsidRPr="004970C3" w:rsidRDefault="005D1002" w:rsidP="00C73A61">
            <w:pPr>
              <w:rPr>
                <w:rFonts w:ascii="Verdana" w:hAnsi="Verdana"/>
                <w:sz w:val="20"/>
                <w:szCs w:val="20"/>
              </w:rPr>
            </w:pPr>
          </w:p>
        </w:tc>
        <w:tc>
          <w:tcPr>
            <w:tcW w:w="1272" w:type="dxa"/>
          </w:tcPr>
          <w:p w14:paraId="330FAFC4" w14:textId="5D7562A4" w:rsidR="005D1002" w:rsidRPr="004970C3" w:rsidRDefault="005D1002"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SUND</w:t>
            </w:r>
          </w:p>
        </w:tc>
        <w:tc>
          <w:tcPr>
            <w:tcW w:w="1273" w:type="dxa"/>
          </w:tcPr>
          <w:p w14:paraId="7BD6B230" w14:textId="5C255D49" w:rsidR="005D1002" w:rsidRPr="004970C3" w:rsidRDefault="005D1002"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TEK</w:t>
            </w:r>
          </w:p>
        </w:tc>
        <w:tc>
          <w:tcPr>
            <w:tcW w:w="1272" w:type="dxa"/>
          </w:tcPr>
          <w:p w14:paraId="767EE048" w14:textId="1E5334D4" w:rsidR="005D1002" w:rsidRPr="004970C3" w:rsidRDefault="005D1002"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HUM</w:t>
            </w:r>
          </w:p>
        </w:tc>
        <w:tc>
          <w:tcPr>
            <w:tcW w:w="1273" w:type="dxa"/>
          </w:tcPr>
          <w:p w14:paraId="1DB27C21" w14:textId="1F2C70B4" w:rsidR="005D1002" w:rsidRPr="004970C3" w:rsidRDefault="005D1002" w:rsidP="00C73A61">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970C3">
              <w:rPr>
                <w:rFonts w:ascii="Verdana" w:hAnsi="Verdana"/>
                <w:sz w:val="20"/>
                <w:szCs w:val="20"/>
              </w:rPr>
              <w:t>SAMF</w:t>
            </w:r>
          </w:p>
        </w:tc>
      </w:tr>
      <w:tr w:rsidR="005D1002" w14:paraId="3E39AF51" w14:textId="6350B655" w:rsidTr="005D100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096" w:type="dxa"/>
          </w:tcPr>
          <w:p w14:paraId="500399CE" w14:textId="25C5EE41" w:rsidR="005D1002" w:rsidRPr="004970C3" w:rsidRDefault="00AA5878" w:rsidP="005D1002">
            <w:pPr>
              <w:rPr>
                <w:rFonts w:ascii="Verdana" w:hAnsi="Verdana"/>
                <w:sz w:val="20"/>
                <w:szCs w:val="20"/>
              </w:rPr>
            </w:pPr>
            <w:sdt>
              <w:sdtPr>
                <w:rPr>
                  <w:rFonts w:ascii="Verdana" w:hAnsi="Verdana"/>
                  <w:sz w:val="20"/>
                  <w:szCs w:val="20"/>
                </w:rPr>
                <w:id w:val="843979701"/>
                <w:citation/>
              </w:sdtPr>
              <w:sdtEndPr/>
              <w:sdtContent>
                <w:r w:rsidR="00D64217">
                  <w:rPr>
                    <w:rFonts w:ascii="Verdana" w:hAnsi="Verdana"/>
                    <w:sz w:val="20"/>
                    <w:szCs w:val="20"/>
                  </w:rPr>
                  <w:fldChar w:fldCharType="begin"/>
                </w:r>
                <w:r w:rsidR="00D64217">
                  <w:rPr>
                    <w:rFonts w:ascii="Verdana" w:hAnsi="Verdana"/>
                    <w:sz w:val="20"/>
                    <w:szCs w:val="20"/>
                  </w:rPr>
                  <w:instrText xml:space="preserve"> CITATION Fos13 \l 1030 </w:instrText>
                </w:r>
                <w:r w:rsidR="00D64217">
                  <w:rPr>
                    <w:rFonts w:ascii="Verdana" w:hAnsi="Verdana"/>
                    <w:sz w:val="20"/>
                    <w:szCs w:val="20"/>
                  </w:rPr>
                  <w:fldChar w:fldCharType="separate"/>
                </w:r>
                <w:r w:rsidR="00D64217" w:rsidRPr="00D64217">
                  <w:rPr>
                    <w:rFonts w:ascii="Verdana" w:hAnsi="Verdana"/>
                    <w:noProof/>
                    <w:sz w:val="20"/>
                    <w:szCs w:val="20"/>
                  </w:rPr>
                  <w:t>(Fosse, et al., 2013)</w:t>
                </w:r>
                <w:r w:rsidR="00D64217">
                  <w:rPr>
                    <w:rFonts w:ascii="Verdana" w:hAnsi="Verdana"/>
                    <w:sz w:val="20"/>
                    <w:szCs w:val="20"/>
                  </w:rPr>
                  <w:fldChar w:fldCharType="end"/>
                </w:r>
              </w:sdtContent>
            </w:sdt>
          </w:p>
        </w:tc>
        <w:tc>
          <w:tcPr>
            <w:tcW w:w="1272" w:type="dxa"/>
          </w:tcPr>
          <w:p w14:paraId="35305C36" w14:textId="5EE62B19" w:rsidR="005D1002" w:rsidRPr="004970C3" w:rsidRDefault="005D1002" w:rsidP="005D100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gramStart"/>
            <w:r w:rsidRPr="004970C3">
              <w:rPr>
                <w:rFonts w:ascii="Verdana" w:hAnsi="Verdana"/>
                <w:color w:val="000000"/>
                <w:sz w:val="20"/>
                <w:szCs w:val="20"/>
              </w:rPr>
              <w:t>213%</w:t>
            </w:r>
            <w:proofErr w:type="gramEnd"/>
          </w:p>
        </w:tc>
        <w:tc>
          <w:tcPr>
            <w:tcW w:w="1273" w:type="dxa"/>
          </w:tcPr>
          <w:p w14:paraId="1B4E5E6F" w14:textId="3F1046D5" w:rsidR="005D1002" w:rsidRPr="004970C3" w:rsidRDefault="005D1002" w:rsidP="005D100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gramStart"/>
            <w:r w:rsidRPr="004970C3">
              <w:rPr>
                <w:rFonts w:ascii="Verdana" w:hAnsi="Verdana"/>
                <w:color w:val="000000"/>
                <w:sz w:val="20"/>
                <w:szCs w:val="20"/>
              </w:rPr>
              <w:t>73%</w:t>
            </w:r>
            <w:proofErr w:type="gramEnd"/>
          </w:p>
        </w:tc>
        <w:tc>
          <w:tcPr>
            <w:tcW w:w="1272" w:type="dxa"/>
          </w:tcPr>
          <w:p w14:paraId="2889817F" w14:textId="6E7A30AB" w:rsidR="005D1002" w:rsidRPr="004970C3" w:rsidRDefault="005D1002" w:rsidP="005D100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gramStart"/>
            <w:r w:rsidRPr="004970C3">
              <w:rPr>
                <w:rFonts w:ascii="Verdana" w:hAnsi="Verdana"/>
                <w:color w:val="000000"/>
                <w:sz w:val="20"/>
                <w:szCs w:val="20"/>
              </w:rPr>
              <w:t>77%</w:t>
            </w:r>
            <w:proofErr w:type="gramEnd"/>
          </w:p>
        </w:tc>
        <w:tc>
          <w:tcPr>
            <w:tcW w:w="1273" w:type="dxa"/>
          </w:tcPr>
          <w:p w14:paraId="2A6FCB7F" w14:textId="60AA0169" w:rsidR="005D1002" w:rsidRPr="004970C3" w:rsidRDefault="005D1002" w:rsidP="005D100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gramStart"/>
            <w:r w:rsidRPr="004970C3">
              <w:rPr>
                <w:rFonts w:ascii="Verdana" w:hAnsi="Verdana"/>
                <w:color w:val="000000"/>
                <w:sz w:val="20"/>
                <w:szCs w:val="20"/>
              </w:rPr>
              <w:t>210%</w:t>
            </w:r>
            <w:proofErr w:type="gramEnd"/>
          </w:p>
        </w:tc>
      </w:tr>
    </w:tbl>
    <w:p w14:paraId="2A9DFFE5" w14:textId="7762DD4F" w:rsidR="004970C3" w:rsidRPr="006A0FEA" w:rsidRDefault="004970C3" w:rsidP="004970C3">
      <w:pPr>
        <w:pStyle w:val="NoSpacing"/>
        <w:rPr>
          <w:rFonts w:ascii="Verdana" w:hAnsi="Verdana"/>
          <w:i/>
          <w:sz w:val="20"/>
        </w:rPr>
      </w:pPr>
      <w:proofErr w:type="spellStart"/>
      <w:r w:rsidRPr="006A0FEA">
        <w:rPr>
          <w:rFonts w:ascii="Verdana" w:hAnsi="Verdana"/>
          <w:i/>
          <w:sz w:val="20"/>
        </w:rPr>
        <w:t>Anm</w:t>
      </w:r>
      <w:proofErr w:type="spellEnd"/>
      <w:r w:rsidRPr="006A0FEA">
        <w:rPr>
          <w:rFonts w:ascii="Verdana" w:hAnsi="Verdana"/>
          <w:i/>
          <w:sz w:val="20"/>
        </w:rPr>
        <w:t xml:space="preserve">: </w:t>
      </w:r>
      <w:r w:rsidRPr="006A0FEA">
        <w:rPr>
          <w:rFonts w:ascii="Verdana" w:hAnsi="Verdana"/>
          <w:sz w:val="20"/>
        </w:rPr>
        <w:t xml:space="preserve">Gevinsten er angivet i pct. ift. </w:t>
      </w:r>
      <w:proofErr w:type="gramStart"/>
      <w:r w:rsidRPr="006A0FEA">
        <w:rPr>
          <w:rFonts w:ascii="Verdana" w:hAnsi="Verdana"/>
          <w:sz w:val="20"/>
        </w:rPr>
        <w:t>erhvervsfaglige uddannelser.</w:t>
      </w:r>
      <w:proofErr w:type="gramEnd"/>
    </w:p>
    <w:p w14:paraId="5765ECD2" w14:textId="391BAF2A" w:rsidR="004970C3" w:rsidRPr="006A0FEA" w:rsidRDefault="004970C3" w:rsidP="004970C3">
      <w:pPr>
        <w:pStyle w:val="NoSpacing"/>
        <w:rPr>
          <w:rFonts w:ascii="Verdana" w:hAnsi="Verdana"/>
          <w:sz w:val="20"/>
        </w:rPr>
      </w:pPr>
      <w:r w:rsidRPr="006A0FEA">
        <w:rPr>
          <w:rFonts w:ascii="Verdana" w:hAnsi="Verdana"/>
          <w:i/>
          <w:sz w:val="20"/>
        </w:rPr>
        <w:t xml:space="preserve">Kilde: </w:t>
      </w:r>
      <w:sdt>
        <w:sdtPr>
          <w:rPr>
            <w:rFonts w:ascii="Verdana" w:hAnsi="Verdana"/>
            <w:i/>
            <w:sz w:val="20"/>
          </w:rPr>
          <w:id w:val="829181431"/>
          <w:citation/>
        </w:sdtPr>
        <w:sdtEndPr/>
        <w:sdtContent>
          <w:r w:rsidR="00B32831" w:rsidRPr="006A0FEA">
            <w:rPr>
              <w:rFonts w:ascii="Verdana" w:hAnsi="Verdana"/>
              <w:i/>
              <w:sz w:val="20"/>
            </w:rPr>
            <w:fldChar w:fldCharType="begin"/>
          </w:r>
          <w:r w:rsidR="00B32831" w:rsidRPr="006A0FEA">
            <w:rPr>
              <w:rFonts w:ascii="Verdana" w:hAnsi="Verdana"/>
              <w:sz w:val="20"/>
            </w:rPr>
            <w:instrText xml:space="preserve"> CITATION Fos13 \l 1030 </w:instrText>
          </w:r>
          <w:r w:rsidR="00B32831" w:rsidRPr="006A0FEA">
            <w:rPr>
              <w:rFonts w:ascii="Verdana" w:hAnsi="Verdana"/>
              <w:i/>
              <w:sz w:val="20"/>
            </w:rPr>
            <w:fldChar w:fldCharType="separate"/>
          </w:r>
          <w:r w:rsidR="006A0FEA" w:rsidRPr="006A0FEA">
            <w:rPr>
              <w:rFonts w:ascii="Verdana" w:hAnsi="Verdana"/>
              <w:noProof/>
              <w:sz w:val="20"/>
            </w:rPr>
            <w:t>(Fosse, et al., 2013)</w:t>
          </w:r>
          <w:r w:rsidR="00B32831" w:rsidRPr="006A0FEA">
            <w:rPr>
              <w:rFonts w:ascii="Verdana" w:hAnsi="Verdana"/>
              <w:i/>
              <w:sz w:val="20"/>
            </w:rPr>
            <w:fldChar w:fldCharType="end"/>
          </w:r>
        </w:sdtContent>
      </w:sdt>
      <w:r w:rsidRPr="006A0FEA">
        <w:rPr>
          <w:rFonts w:ascii="Verdana" w:hAnsi="Verdana"/>
          <w:sz w:val="20"/>
        </w:rPr>
        <w:t xml:space="preserve">s. 18 </w:t>
      </w:r>
    </w:p>
    <w:p w14:paraId="66EEA70F" w14:textId="2375782A" w:rsidR="005D1002" w:rsidRPr="004970C3" w:rsidRDefault="005D1002" w:rsidP="00C73A61">
      <w:pPr>
        <w:rPr>
          <w:rFonts w:ascii="Verdana" w:hAnsi="Verdana"/>
          <w:i/>
        </w:rPr>
      </w:pPr>
    </w:p>
    <w:p w14:paraId="2E2D1EAF" w14:textId="77777777" w:rsidR="00C73A61" w:rsidRDefault="00C73A61" w:rsidP="00C73A61">
      <w:pPr>
        <w:rPr>
          <w:rFonts w:ascii="Verdana" w:hAnsi="Verdana"/>
        </w:rPr>
      </w:pPr>
      <w:r>
        <w:rPr>
          <w:rFonts w:ascii="Verdana" w:hAnsi="Verdana"/>
        </w:rPr>
        <w:t>I det følgende afsnit redegøres der i detaljer for, hvordan de to typer af beregninger, h</w:t>
      </w:r>
      <w:r w:rsidR="0016091D">
        <w:rPr>
          <w:rFonts w:ascii="Verdana" w:hAnsi="Verdana"/>
        </w:rPr>
        <w:t>enholdsvis</w:t>
      </w:r>
      <w:r>
        <w:rPr>
          <w:rFonts w:ascii="Verdana" w:hAnsi="Verdana"/>
        </w:rPr>
        <w:t xml:space="preserve"> en uddannelseskvalitetstilgang og en uddannelseskvantitetstilgang kan udformes.</w:t>
      </w:r>
    </w:p>
    <w:p w14:paraId="33BF56B4" w14:textId="77777777" w:rsidR="00C73A61" w:rsidRPr="00550573" w:rsidRDefault="00C73A61" w:rsidP="003E608C">
      <w:pPr>
        <w:pStyle w:val="Heading2"/>
        <w:rPr>
          <w:lang w:val="da-DK"/>
        </w:rPr>
      </w:pPr>
      <w:r w:rsidRPr="00550573">
        <w:rPr>
          <w:lang w:val="da-DK"/>
        </w:rPr>
        <w:t>Tilgang og metodevalg</w:t>
      </w:r>
    </w:p>
    <w:p w14:paraId="4E6E0996" w14:textId="0C873EAA" w:rsidR="00C73A61" w:rsidRPr="00554553" w:rsidRDefault="00C73A61" w:rsidP="00554553">
      <w:pPr>
        <w:pStyle w:val="NoSpacing"/>
        <w:rPr>
          <w:rFonts w:ascii="Verdana" w:hAnsi="Verdana"/>
        </w:rPr>
      </w:pPr>
      <w:r w:rsidRPr="00554553">
        <w:rPr>
          <w:rFonts w:ascii="Verdana" w:hAnsi="Verdana"/>
        </w:rPr>
        <w:t>På baggrund af ovenstående</w:t>
      </w:r>
      <w:r w:rsidR="00685404">
        <w:rPr>
          <w:rFonts w:ascii="Verdana" w:hAnsi="Verdana"/>
        </w:rPr>
        <w:t xml:space="preserve"> litteraturgennemgang</w:t>
      </w:r>
      <w:r w:rsidRPr="00554553">
        <w:rPr>
          <w:rFonts w:ascii="Verdana" w:hAnsi="Verdana"/>
        </w:rPr>
        <w:t>, er der umiddelbart to metoder til at belyse, hvordan ændrede bevillinger kan påvirke produktiviteten. Enten kan det belyses</w:t>
      </w:r>
      <w:r w:rsidR="0016091D" w:rsidRPr="00554553">
        <w:rPr>
          <w:rFonts w:ascii="Verdana" w:hAnsi="Verdana"/>
        </w:rPr>
        <w:t>,</w:t>
      </w:r>
      <w:r w:rsidRPr="00554553">
        <w:rPr>
          <w:rFonts w:ascii="Verdana" w:hAnsi="Verdana"/>
        </w:rPr>
        <w:t xml:space="preserve"> hvordan ændret bevilling påvirker </w:t>
      </w:r>
      <w:r w:rsidRPr="00554553">
        <w:rPr>
          <w:rFonts w:ascii="Verdana" w:hAnsi="Verdana"/>
          <w:i/>
        </w:rPr>
        <w:t>uddannelseskvaliteten</w:t>
      </w:r>
      <w:r w:rsidRPr="00554553">
        <w:rPr>
          <w:rFonts w:ascii="Verdana" w:hAnsi="Verdana"/>
        </w:rPr>
        <w:t xml:space="preserve"> og dermed de evner og kompetencer, som </w:t>
      </w:r>
      <w:r w:rsidR="00016AD7">
        <w:rPr>
          <w:rFonts w:ascii="Verdana" w:hAnsi="Verdana"/>
        </w:rPr>
        <w:t>det givne uddannelsesniveau</w:t>
      </w:r>
      <w:r w:rsidRPr="00554553">
        <w:rPr>
          <w:rFonts w:ascii="Verdana" w:hAnsi="Verdana"/>
        </w:rPr>
        <w:t xml:space="preserve"> </w:t>
      </w:r>
      <w:r w:rsidR="00016AD7">
        <w:rPr>
          <w:rFonts w:ascii="Verdana" w:hAnsi="Verdana"/>
        </w:rPr>
        <w:t>giver anledning</w:t>
      </w:r>
      <w:r w:rsidR="0017251E">
        <w:rPr>
          <w:rFonts w:ascii="Verdana" w:hAnsi="Verdana"/>
        </w:rPr>
        <w:t xml:space="preserve"> til</w:t>
      </w:r>
      <w:r w:rsidRPr="00554553">
        <w:rPr>
          <w:rFonts w:ascii="Verdana" w:hAnsi="Verdana"/>
        </w:rPr>
        <w:t>. Alternativt kan det belyses</w:t>
      </w:r>
      <w:r w:rsidR="005118AC">
        <w:rPr>
          <w:rFonts w:ascii="Verdana" w:hAnsi="Verdana"/>
        </w:rPr>
        <w:t>,</w:t>
      </w:r>
      <w:r w:rsidRPr="00554553">
        <w:rPr>
          <w:rFonts w:ascii="Verdana" w:hAnsi="Verdana"/>
        </w:rPr>
        <w:t xml:space="preserve"> hvordan ændret bevilling ændrer på </w:t>
      </w:r>
      <w:r w:rsidRPr="00554553">
        <w:rPr>
          <w:rFonts w:ascii="Verdana" w:hAnsi="Verdana"/>
          <w:i/>
        </w:rPr>
        <w:t xml:space="preserve">mængden af uddannelse, </w:t>
      </w:r>
      <w:r w:rsidRPr="00554553">
        <w:rPr>
          <w:rFonts w:ascii="Verdana" w:hAnsi="Verdana"/>
        </w:rPr>
        <w:t>eller mere præcist, hvor mange der opnår en specifik uddannelseslængde. I det følgende vil de to metoder blive beskrevet nærmere. Der er for begge metoder tale om approksimationer, der har til formål at vise</w:t>
      </w:r>
      <w:r w:rsidR="0016091D" w:rsidRPr="00554553">
        <w:rPr>
          <w:rFonts w:ascii="Verdana" w:hAnsi="Verdana"/>
        </w:rPr>
        <w:t>,</w:t>
      </w:r>
      <w:r w:rsidRPr="00554553">
        <w:rPr>
          <w:rFonts w:ascii="Verdana" w:hAnsi="Verdana"/>
        </w:rPr>
        <w:t xml:space="preserve"> hvor </w:t>
      </w:r>
      <w:r w:rsidR="001A5043">
        <w:rPr>
          <w:rFonts w:ascii="Verdana" w:hAnsi="Verdana"/>
        </w:rPr>
        <w:t xml:space="preserve">meget analyser af de økonomiske virkninger af ændrede bevillinger til uddannelsessektoren afhænger af de </w:t>
      </w:r>
      <w:r w:rsidRPr="00554553">
        <w:rPr>
          <w:rFonts w:ascii="Verdana" w:hAnsi="Verdana"/>
        </w:rPr>
        <w:t xml:space="preserve">antagelser, der ligger til grund for beregningerne. </w:t>
      </w:r>
    </w:p>
    <w:p w14:paraId="6E72A34B" w14:textId="77777777" w:rsidR="0016091D" w:rsidRPr="00554553" w:rsidRDefault="0016091D" w:rsidP="00554553">
      <w:pPr>
        <w:pStyle w:val="NoSpacing"/>
        <w:rPr>
          <w:rFonts w:ascii="Verdana" w:hAnsi="Verdana"/>
        </w:rPr>
      </w:pPr>
    </w:p>
    <w:p w14:paraId="3EEF725A" w14:textId="77777777" w:rsidR="00C73A61" w:rsidRPr="00554553" w:rsidRDefault="00C73A61" w:rsidP="003E608C">
      <w:pPr>
        <w:pStyle w:val="Heading3"/>
      </w:pPr>
      <w:r w:rsidRPr="00554553">
        <w:t>Uddannelseskvalitet</w:t>
      </w:r>
    </w:p>
    <w:p w14:paraId="0302B526" w14:textId="54B9E060" w:rsidR="00C73A61" w:rsidRDefault="00C73A61" w:rsidP="00554553">
      <w:pPr>
        <w:pStyle w:val="NoSpacing"/>
        <w:rPr>
          <w:rFonts w:ascii="Verdana" w:hAnsi="Verdana"/>
        </w:rPr>
      </w:pPr>
      <w:r w:rsidRPr="00554553">
        <w:rPr>
          <w:rFonts w:ascii="Verdana" w:hAnsi="Verdana"/>
        </w:rPr>
        <w:t xml:space="preserve">I dette politikeksperiment vil der blive taget udgangspunkt i </w:t>
      </w:r>
      <w:r w:rsidR="00E3372A">
        <w:rPr>
          <w:rFonts w:ascii="Verdana" w:hAnsi="Verdana"/>
        </w:rPr>
        <w:t xml:space="preserve">følgende </w:t>
      </w:r>
      <w:r w:rsidRPr="00554553">
        <w:rPr>
          <w:rFonts w:ascii="Verdana" w:hAnsi="Verdana"/>
        </w:rPr>
        <w:t>konkret</w:t>
      </w:r>
      <w:r w:rsidR="00E3372A">
        <w:rPr>
          <w:rFonts w:ascii="Verdana" w:hAnsi="Verdana"/>
        </w:rPr>
        <w:t>e</w:t>
      </w:r>
      <w:r w:rsidRPr="00554553">
        <w:rPr>
          <w:rFonts w:ascii="Verdana" w:hAnsi="Verdana"/>
        </w:rPr>
        <w:t xml:space="preserve"> case: et politisk ønske om at sænke klassekvotienten i folkeskolen med 10 pct. i gennemsnit på tværs af landet. I </w:t>
      </w:r>
      <w:r w:rsidR="00E3372A">
        <w:rPr>
          <w:rFonts w:ascii="Verdana" w:hAnsi="Verdana"/>
        </w:rPr>
        <w:t>de</w:t>
      </w:r>
      <w:r w:rsidR="00DD3AC4">
        <w:rPr>
          <w:rFonts w:ascii="Verdana" w:hAnsi="Verdana"/>
        </w:rPr>
        <w:t xml:space="preserve"> af Finansministeriet</w:t>
      </w:r>
      <w:r w:rsidR="00E3372A">
        <w:rPr>
          <w:rFonts w:ascii="Verdana" w:hAnsi="Verdana"/>
        </w:rPr>
        <w:t xml:space="preserve"> anvendte </w:t>
      </w:r>
      <w:r w:rsidR="003642EF">
        <w:rPr>
          <w:rFonts w:ascii="Verdana" w:hAnsi="Verdana"/>
        </w:rPr>
        <w:t>økonomiske modeller</w:t>
      </w:r>
      <w:r w:rsidRPr="00554553">
        <w:rPr>
          <w:rFonts w:ascii="Verdana" w:hAnsi="Verdana"/>
        </w:rPr>
        <w:t xml:space="preserve">, vil en sådan ændring af det offentlige budget blive fortolket som en ekstra udgift, som vil skulle finansieres af ekstra skatteindkrævning eller </w:t>
      </w:r>
      <w:r w:rsidRPr="00554553">
        <w:rPr>
          <w:rFonts w:ascii="Verdana" w:hAnsi="Verdana"/>
        </w:rPr>
        <w:lastRenderedPageBreak/>
        <w:t>besparelser på andre områder. Derudover vil der skulle ansættes flere lærere i den offentlige sektor, som naturligvis vil få udbetalt løn, som de vil kunne anvende til forbrug mv. Ændringen vil imidlertid ikke have nogen indvirkning på elevernes indlæring</w:t>
      </w:r>
      <w:r w:rsidR="003E608C">
        <w:rPr>
          <w:rFonts w:ascii="Verdana" w:hAnsi="Verdana"/>
        </w:rPr>
        <w:t>, trivsel eller andet</w:t>
      </w:r>
      <w:r w:rsidRPr="00554553">
        <w:rPr>
          <w:rFonts w:ascii="Verdana" w:hAnsi="Verdana"/>
        </w:rPr>
        <w:t xml:space="preserve"> – og dermed samfundets f</w:t>
      </w:r>
      <w:r w:rsidR="0075450C">
        <w:rPr>
          <w:rFonts w:ascii="Verdana" w:hAnsi="Verdana"/>
        </w:rPr>
        <w:t>remtidige produktivitet. Da stort set alle de anvendte makroøkonomiske modeller</w:t>
      </w:r>
      <w:r w:rsidRPr="00554553">
        <w:rPr>
          <w:rFonts w:ascii="Verdana" w:hAnsi="Verdana"/>
        </w:rPr>
        <w:t xml:space="preserve"> på langt sigt har fuld </w:t>
      </w:r>
      <w:proofErr w:type="spellStart"/>
      <w:r w:rsidRPr="00554553">
        <w:rPr>
          <w:rFonts w:ascii="Verdana" w:hAnsi="Verdana"/>
        </w:rPr>
        <w:t>crowding</w:t>
      </w:r>
      <w:proofErr w:type="spellEnd"/>
      <w:r w:rsidRPr="00554553">
        <w:rPr>
          <w:rFonts w:ascii="Verdana" w:hAnsi="Verdana"/>
        </w:rPr>
        <w:t xml:space="preserve">-out på arbejdsmarkedet, vil den langsigtede effekt på beskæftigelsen </w:t>
      </w:r>
      <w:r w:rsidR="003E608C">
        <w:rPr>
          <w:rFonts w:ascii="Verdana" w:hAnsi="Verdana"/>
        </w:rPr>
        <w:t>a</w:t>
      </w:r>
      <w:r w:rsidRPr="00554553">
        <w:rPr>
          <w:rFonts w:ascii="Verdana" w:hAnsi="Verdana"/>
        </w:rPr>
        <w:t xml:space="preserve">ltid være nul. Hvis der, som </w:t>
      </w:r>
      <w:r w:rsidR="007C7EB2">
        <w:rPr>
          <w:rFonts w:ascii="Verdana" w:hAnsi="Verdana"/>
        </w:rPr>
        <w:t>i Finansministerie</w:t>
      </w:r>
      <w:r w:rsidR="00CA398E">
        <w:rPr>
          <w:rFonts w:ascii="Verdana" w:hAnsi="Verdana"/>
        </w:rPr>
        <w:t>ts regnemetoder</w:t>
      </w:r>
      <w:r w:rsidRPr="00554553">
        <w:rPr>
          <w:rFonts w:ascii="Verdana" w:hAnsi="Verdana"/>
        </w:rPr>
        <w:t>, desuden arbejdes med en</w:t>
      </w:r>
      <w:r w:rsidR="003E608C">
        <w:rPr>
          <w:rFonts w:ascii="Verdana" w:hAnsi="Verdana"/>
        </w:rPr>
        <w:t>dogent</w:t>
      </w:r>
      <w:r w:rsidR="00DD3AC4">
        <w:rPr>
          <w:rFonts w:ascii="Verdana" w:hAnsi="Verdana"/>
        </w:rPr>
        <w:t xml:space="preserve"> arbejdsudbud</w:t>
      </w:r>
      <w:r w:rsidR="003E608C">
        <w:rPr>
          <w:rFonts w:ascii="Verdana" w:hAnsi="Verdana"/>
        </w:rPr>
        <w:t xml:space="preserve"> – dvs. at arbejdsudbuddet afhænger af indkomsten efter skat – </w:t>
      </w:r>
      <w:r w:rsidRPr="00554553">
        <w:rPr>
          <w:rFonts w:ascii="Verdana" w:hAnsi="Verdana"/>
        </w:rPr>
        <w:t>vil</w:t>
      </w:r>
      <w:r w:rsidR="003E608C">
        <w:rPr>
          <w:rFonts w:ascii="Verdana" w:hAnsi="Verdana"/>
        </w:rPr>
        <w:t xml:space="preserve"> </w:t>
      </w:r>
      <w:r w:rsidRPr="00554553">
        <w:rPr>
          <w:rFonts w:ascii="Verdana" w:hAnsi="Verdana"/>
        </w:rPr>
        <w:t xml:space="preserve">det samfundsøkonomisk være en dårlig investering at ansætte flere lærere, da </w:t>
      </w:r>
      <w:r w:rsidR="00685404">
        <w:rPr>
          <w:rFonts w:ascii="Verdana" w:hAnsi="Verdana"/>
        </w:rPr>
        <w:t>d</w:t>
      </w:r>
      <w:r w:rsidRPr="00554553">
        <w:rPr>
          <w:rFonts w:ascii="Verdana" w:hAnsi="Verdana"/>
        </w:rPr>
        <w:t>en skatteopkrævning</w:t>
      </w:r>
      <w:r w:rsidR="00685404">
        <w:rPr>
          <w:rFonts w:ascii="Verdana" w:hAnsi="Verdana"/>
        </w:rPr>
        <w:t>, der kræves for at finansiere de ekstra lærere,</w:t>
      </w:r>
      <w:r w:rsidRPr="00554553">
        <w:rPr>
          <w:rFonts w:ascii="Verdana" w:hAnsi="Verdana"/>
        </w:rPr>
        <w:t xml:space="preserve"> vil have forvridende effekt</w:t>
      </w:r>
      <w:r w:rsidR="00685404">
        <w:rPr>
          <w:rFonts w:ascii="Verdana" w:hAnsi="Verdana"/>
        </w:rPr>
        <w:t xml:space="preserve"> og mindske udbuddet af arbejdskraft.</w:t>
      </w:r>
      <w:r w:rsidRPr="00554553">
        <w:rPr>
          <w:rFonts w:ascii="Verdana" w:hAnsi="Verdana"/>
        </w:rPr>
        <w:t xml:space="preserve"> </w:t>
      </w:r>
      <w:r w:rsidR="003E608C">
        <w:rPr>
          <w:rFonts w:ascii="Verdana" w:hAnsi="Verdana"/>
        </w:rPr>
        <w:t xml:space="preserve">Samlet ville dette betyde, at samfundsøkonomien ville mindskes, hvis klassekvotienten sænkes med 10 pct. </w:t>
      </w:r>
      <w:r w:rsidRPr="00554553">
        <w:rPr>
          <w:rFonts w:ascii="Verdana" w:hAnsi="Verdana"/>
        </w:rPr>
        <w:t>Spørgsmål er, om resultatet af dette eksperiment vil ændre sig, hvis man inkluderede</w:t>
      </w:r>
      <w:r w:rsidR="00E3372A">
        <w:rPr>
          <w:rFonts w:ascii="Verdana" w:hAnsi="Verdana"/>
        </w:rPr>
        <w:t xml:space="preserve"> de</w:t>
      </w:r>
      <w:r w:rsidRPr="00554553">
        <w:rPr>
          <w:rFonts w:ascii="Verdana" w:hAnsi="Verdana"/>
        </w:rPr>
        <w:t xml:space="preserve"> effekter, som blandt andet Diane </w:t>
      </w:r>
      <w:proofErr w:type="spellStart"/>
      <w:r w:rsidRPr="00554553">
        <w:rPr>
          <w:rFonts w:ascii="Verdana" w:hAnsi="Verdana"/>
        </w:rPr>
        <w:t>Schanzenbach</w:t>
      </w:r>
      <w:proofErr w:type="spellEnd"/>
      <w:r w:rsidRPr="00554553">
        <w:rPr>
          <w:rFonts w:ascii="Verdana" w:hAnsi="Verdana"/>
        </w:rPr>
        <w:t xml:space="preserve"> fra </w:t>
      </w:r>
      <w:proofErr w:type="spellStart"/>
      <w:r w:rsidRPr="00554553">
        <w:rPr>
          <w:rFonts w:ascii="Verdana" w:hAnsi="Verdana"/>
        </w:rPr>
        <w:t>University</w:t>
      </w:r>
      <w:proofErr w:type="spellEnd"/>
      <w:r w:rsidRPr="00554553">
        <w:rPr>
          <w:rFonts w:ascii="Verdana" w:hAnsi="Verdana"/>
        </w:rPr>
        <w:t xml:space="preserve"> of Colorado har påpeget. </w:t>
      </w:r>
    </w:p>
    <w:p w14:paraId="19EC2D1A" w14:textId="77777777" w:rsidR="00554553" w:rsidRPr="00554553" w:rsidRDefault="00554553" w:rsidP="00554553">
      <w:pPr>
        <w:pStyle w:val="NoSpacing"/>
        <w:rPr>
          <w:rFonts w:ascii="Verdana" w:hAnsi="Verdana"/>
        </w:rPr>
      </w:pPr>
    </w:p>
    <w:p w14:paraId="148AFE11" w14:textId="7EB8711F" w:rsidR="00C73A61" w:rsidRDefault="00C73A61" w:rsidP="00554553">
      <w:pPr>
        <w:pStyle w:val="NoSpacing"/>
        <w:rPr>
          <w:rFonts w:ascii="Verdana" w:hAnsi="Verdana"/>
        </w:rPr>
      </w:pPr>
      <w:r w:rsidRPr="00554553">
        <w:rPr>
          <w:rFonts w:ascii="Verdana" w:hAnsi="Verdana"/>
        </w:rPr>
        <w:t xml:space="preserve">Den konkrete udregning foretages ved først at undersøge, hvor mange flere lærere det vil kræve at sænke den gennemsnitlige klassekvotient med 10 pct. i gennemsnit på tværs af landet. Dette gøres ved hjælp af Økonomi- og Indenrigsministeriets Kommunale Nøgletal. </w:t>
      </w:r>
      <w:r w:rsidR="00E3372A">
        <w:rPr>
          <w:rFonts w:ascii="Verdana" w:hAnsi="Verdana"/>
        </w:rPr>
        <w:t xml:space="preserve">Herefter </w:t>
      </w:r>
      <w:r w:rsidRPr="00554553">
        <w:rPr>
          <w:rFonts w:ascii="Verdana" w:hAnsi="Verdana"/>
        </w:rPr>
        <w:t xml:space="preserve">beregnes en forventet produktivitetseffekt af den sænkede klassekvotient ved hjælp af resultaterne i </w:t>
      </w:r>
      <w:proofErr w:type="spellStart"/>
      <w:r w:rsidRPr="00554553">
        <w:rPr>
          <w:rFonts w:ascii="Verdana" w:hAnsi="Verdana"/>
        </w:rPr>
        <w:t>Schanzenbachs</w:t>
      </w:r>
      <w:proofErr w:type="spellEnd"/>
      <w:r w:rsidRPr="00554553">
        <w:rPr>
          <w:rFonts w:ascii="Verdana" w:hAnsi="Verdana"/>
        </w:rPr>
        <w:t xml:space="preserve"> oversigt.</w:t>
      </w:r>
      <w:r w:rsidR="00E3372A">
        <w:rPr>
          <w:rFonts w:ascii="Verdana" w:hAnsi="Verdana"/>
        </w:rPr>
        <w:t xml:space="preserve"> Til sidst beregnes hvordan disse ændringer samlet set vil påvirke samfundsøkonomien. I dette eksempel regne</w:t>
      </w:r>
      <w:r w:rsidR="003E608C">
        <w:rPr>
          <w:rFonts w:ascii="Verdana" w:hAnsi="Verdana"/>
        </w:rPr>
        <w:t>s</w:t>
      </w:r>
      <w:r w:rsidR="00E3372A">
        <w:rPr>
          <w:rFonts w:ascii="Verdana" w:hAnsi="Verdana"/>
        </w:rPr>
        <w:t xml:space="preserve"> der ikke på virkningen for den offentlige saldo, men alene for effekten på øvrige centrale størrelser som eksempelvis BNP, privatforbrug mv. </w:t>
      </w:r>
    </w:p>
    <w:p w14:paraId="33417E76" w14:textId="77777777" w:rsidR="00554553" w:rsidRPr="00554553" w:rsidRDefault="00554553" w:rsidP="00554553">
      <w:pPr>
        <w:pStyle w:val="NoSpacing"/>
        <w:rPr>
          <w:rFonts w:ascii="Verdana" w:hAnsi="Verdana"/>
        </w:rPr>
      </w:pPr>
    </w:p>
    <w:p w14:paraId="729D35C1" w14:textId="77777777" w:rsidR="00C73A61" w:rsidRPr="00554553" w:rsidRDefault="00554553" w:rsidP="003E608C">
      <w:pPr>
        <w:pStyle w:val="Heading3"/>
      </w:pPr>
      <w:r>
        <w:t>U</w:t>
      </w:r>
      <w:r w:rsidR="00C73A61" w:rsidRPr="00554553">
        <w:t>ddannelse</w:t>
      </w:r>
      <w:r>
        <w:t>skvantitet</w:t>
      </w:r>
    </w:p>
    <w:p w14:paraId="3517F82A" w14:textId="7321AA56" w:rsidR="00DC1B8E" w:rsidRDefault="00C73A61" w:rsidP="00554553">
      <w:pPr>
        <w:pStyle w:val="NoSpacing"/>
        <w:rPr>
          <w:rFonts w:ascii="Verdana" w:hAnsi="Verdana"/>
        </w:rPr>
      </w:pPr>
      <w:r w:rsidRPr="00554553">
        <w:rPr>
          <w:rFonts w:ascii="Verdana" w:hAnsi="Verdana"/>
        </w:rPr>
        <w:t>I dette politikeksperiment undersøges det, hvi</w:t>
      </w:r>
      <w:r w:rsidR="00DC1B8E">
        <w:rPr>
          <w:rFonts w:ascii="Verdana" w:hAnsi="Verdana"/>
        </w:rPr>
        <w:t xml:space="preserve">lken effekt det vil have at give en større andel af befolkningen en </w:t>
      </w:r>
      <w:r w:rsidRPr="00554553">
        <w:rPr>
          <w:rFonts w:ascii="Verdana" w:hAnsi="Verdana"/>
        </w:rPr>
        <w:t xml:space="preserve">videregående uddannelse. </w:t>
      </w:r>
      <w:r w:rsidR="009A20D7">
        <w:rPr>
          <w:rFonts w:ascii="Verdana" w:hAnsi="Verdana"/>
        </w:rPr>
        <w:t>Konkret undersøges det, hvilken effekt det vil have på de offentlige finanser, hvis der hve</w:t>
      </w:r>
      <w:r w:rsidR="00CF55A1">
        <w:rPr>
          <w:rFonts w:ascii="Verdana" w:hAnsi="Verdana"/>
        </w:rPr>
        <w:t>rt år blev uddannet 100</w:t>
      </w:r>
      <w:r w:rsidR="009A20D7">
        <w:rPr>
          <w:rFonts w:ascii="Verdana" w:hAnsi="Verdana"/>
        </w:rPr>
        <w:t xml:space="preserve"> flere akademikere, end tilfældet er i dag. </w:t>
      </w:r>
      <w:r w:rsidRPr="00554553">
        <w:rPr>
          <w:rFonts w:ascii="Verdana" w:hAnsi="Verdana"/>
        </w:rPr>
        <w:t xml:space="preserve">Det antages, at der vil være samme udvikling i udgifterne pr. studerende, som den historiske udvikling. I </w:t>
      </w:r>
      <w:r w:rsidR="00E619E6">
        <w:rPr>
          <w:rFonts w:ascii="Verdana" w:hAnsi="Verdana"/>
        </w:rPr>
        <w:t>de anvendte økonomiske modeller</w:t>
      </w:r>
      <w:r w:rsidRPr="00554553">
        <w:rPr>
          <w:rFonts w:ascii="Verdana" w:hAnsi="Verdana"/>
        </w:rPr>
        <w:t xml:space="preserve"> vil en </w:t>
      </w:r>
      <w:r w:rsidR="00DC1B8E">
        <w:rPr>
          <w:rFonts w:ascii="Verdana" w:hAnsi="Verdana"/>
        </w:rPr>
        <w:t>generel forøgelse af udgifterne til</w:t>
      </w:r>
      <w:r w:rsidRPr="00554553">
        <w:rPr>
          <w:rFonts w:ascii="Verdana" w:hAnsi="Verdana"/>
        </w:rPr>
        <w:t xml:space="preserve"> uddannelsesområdet føre til </w:t>
      </w:r>
      <w:r w:rsidR="00DC1B8E">
        <w:rPr>
          <w:rFonts w:ascii="Verdana" w:hAnsi="Verdana"/>
        </w:rPr>
        <w:t>flere offentlige ansatte. På sigt vil den samlede beskæftigelse dog være uændret</w:t>
      </w:r>
      <w:r w:rsidR="003E608C">
        <w:rPr>
          <w:rFonts w:ascii="Verdana" w:hAnsi="Verdana"/>
        </w:rPr>
        <w:t>, jf. forklaringen ovenfor.</w:t>
      </w:r>
    </w:p>
    <w:p w14:paraId="3072D084" w14:textId="77777777" w:rsidR="00DC1B8E" w:rsidRDefault="00DC1B8E" w:rsidP="00554553">
      <w:pPr>
        <w:pStyle w:val="NoSpacing"/>
        <w:rPr>
          <w:rFonts w:ascii="Verdana" w:hAnsi="Verdana"/>
        </w:rPr>
      </w:pPr>
    </w:p>
    <w:p w14:paraId="6EFCA830" w14:textId="1E23F32A" w:rsidR="00257599" w:rsidRPr="006759E9" w:rsidRDefault="00554553" w:rsidP="00554553">
      <w:pPr>
        <w:pStyle w:val="NoSpacing"/>
        <w:rPr>
          <w:rFonts w:ascii="Verdana" w:hAnsi="Verdana"/>
        </w:rPr>
      </w:pPr>
      <w:r w:rsidRPr="00554553">
        <w:rPr>
          <w:rFonts w:ascii="Verdana" w:hAnsi="Verdana"/>
        </w:rPr>
        <w:t xml:space="preserve">Under antagelse af, at udgifterne pr. studerende er konstante – uanset bevillingsniveau – vil en ændret bevilling alene ændre på den fremtidige uddannelsessammensætning af befolkningen. Ifølge </w:t>
      </w:r>
      <w:r w:rsidR="00211EEB">
        <w:rPr>
          <w:rFonts w:ascii="Verdana" w:hAnsi="Verdana"/>
        </w:rPr>
        <w:t xml:space="preserve">både </w:t>
      </w:r>
      <w:r w:rsidRPr="00554553">
        <w:rPr>
          <w:rFonts w:ascii="Verdana" w:hAnsi="Verdana"/>
        </w:rPr>
        <w:t>Junge og Skaksen</w:t>
      </w:r>
      <w:r w:rsidR="00CF55A1">
        <w:rPr>
          <w:rFonts w:ascii="Verdana" w:hAnsi="Verdana"/>
        </w:rPr>
        <w:t>, Fosse mfl</w:t>
      </w:r>
      <w:r w:rsidR="00B32831">
        <w:rPr>
          <w:rFonts w:ascii="Verdana" w:hAnsi="Verdana"/>
        </w:rPr>
        <w:t>.</w:t>
      </w:r>
      <w:r w:rsidR="00211EEB">
        <w:rPr>
          <w:rFonts w:ascii="Verdana" w:hAnsi="Verdana"/>
        </w:rPr>
        <w:t xml:space="preserve"> samt Finansministeriet</w:t>
      </w:r>
      <w:r w:rsidRPr="00554553">
        <w:rPr>
          <w:rFonts w:ascii="Verdana" w:hAnsi="Verdana"/>
        </w:rPr>
        <w:t xml:space="preserve">, vil dette </w:t>
      </w:r>
      <w:r w:rsidR="00211EEB">
        <w:rPr>
          <w:rFonts w:ascii="Verdana" w:hAnsi="Verdana"/>
        </w:rPr>
        <w:t xml:space="preserve">have indflydelse på </w:t>
      </w:r>
      <w:r w:rsidRPr="00554553">
        <w:rPr>
          <w:rFonts w:ascii="Verdana" w:hAnsi="Verdana"/>
        </w:rPr>
        <w:t>virkso</w:t>
      </w:r>
      <w:r w:rsidR="00D76366">
        <w:rPr>
          <w:rFonts w:ascii="Verdana" w:hAnsi="Verdana"/>
        </w:rPr>
        <w:t>mhedernes produktivitet</w:t>
      </w:r>
      <w:r w:rsidRPr="00554553">
        <w:rPr>
          <w:rFonts w:ascii="Verdana" w:hAnsi="Verdana"/>
        </w:rPr>
        <w:t xml:space="preserve"> </w:t>
      </w:r>
      <w:sdt>
        <w:sdtPr>
          <w:rPr>
            <w:rFonts w:ascii="Verdana" w:hAnsi="Verdana"/>
          </w:rPr>
          <w:id w:val="-1423632453"/>
          <w:citation/>
        </w:sdtPr>
        <w:sdtEndPr/>
        <w:sdtContent>
          <w:r w:rsidRPr="00554553">
            <w:rPr>
              <w:rFonts w:ascii="Verdana" w:hAnsi="Verdana"/>
            </w:rPr>
            <w:fldChar w:fldCharType="begin"/>
          </w:r>
          <w:r w:rsidR="00B32831">
            <w:rPr>
              <w:rFonts w:ascii="Verdana" w:hAnsi="Verdana"/>
            </w:rPr>
            <w:instrText xml:space="preserve">CITATION Jun10 \l 1030 </w:instrText>
          </w:r>
          <w:r w:rsidRPr="00554553">
            <w:rPr>
              <w:rFonts w:ascii="Verdana" w:hAnsi="Verdana"/>
            </w:rPr>
            <w:fldChar w:fldCharType="separate"/>
          </w:r>
          <w:r w:rsidR="006A0FEA" w:rsidRPr="006A0FEA">
            <w:rPr>
              <w:rFonts w:ascii="Verdana" w:hAnsi="Verdana"/>
              <w:noProof/>
            </w:rPr>
            <w:t>(Junge &amp; Skaksen, 2010)</w:t>
          </w:r>
          <w:r w:rsidRPr="00554553">
            <w:rPr>
              <w:rFonts w:ascii="Verdana" w:hAnsi="Verdana"/>
            </w:rPr>
            <w:fldChar w:fldCharType="end"/>
          </w:r>
        </w:sdtContent>
      </w:sdt>
      <w:r w:rsidR="00B32831">
        <w:rPr>
          <w:rFonts w:ascii="Verdana" w:hAnsi="Verdana"/>
        </w:rPr>
        <w:t xml:space="preserve">, </w:t>
      </w:r>
      <w:sdt>
        <w:sdtPr>
          <w:rPr>
            <w:rFonts w:ascii="Verdana" w:hAnsi="Verdana"/>
          </w:rPr>
          <w:id w:val="130142487"/>
          <w:citation/>
        </w:sdtPr>
        <w:sdtEndPr/>
        <w:sdtContent>
          <w:r w:rsidR="00B32831">
            <w:rPr>
              <w:rFonts w:ascii="Verdana" w:hAnsi="Verdana"/>
            </w:rPr>
            <w:fldChar w:fldCharType="begin"/>
          </w:r>
          <w:r w:rsidR="00B32831">
            <w:rPr>
              <w:rFonts w:ascii="Verdana" w:hAnsi="Verdana"/>
            </w:rPr>
            <w:instrText xml:space="preserve"> CITATION Fos13 \l 1030 </w:instrText>
          </w:r>
          <w:r w:rsidR="00B32831">
            <w:rPr>
              <w:rFonts w:ascii="Verdana" w:hAnsi="Verdana"/>
            </w:rPr>
            <w:fldChar w:fldCharType="separate"/>
          </w:r>
          <w:r w:rsidR="006A0FEA" w:rsidRPr="006A0FEA">
            <w:rPr>
              <w:rFonts w:ascii="Verdana" w:hAnsi="Verdana"/>
              <w:noProof/>
            </w:rPr>
            <w:t>(Fosse, et al., 2013)</w:t>
          </w:r>
          <w:r w:rsidR="00B32831">
            <w:rPr>
              <w:rFonts w:ascii="Verdana" w:hAnsi="Verdana"/>
            </w:rPr>
            <w:fldChar w:fldCharType="end"/>
          </w:r>
        </w:sdtContent>
      </w:sdt>
      <w:r w:rsidR="00B32831">
        <w:rPr>
          <w:rFonts w:ascii="Verdana" w:hAnsi="Verdana"/>
        </w:rPr>
        <w:t xml:space="preserve"> </w:t>
      </w:r>
      <w:r w:rsidR="00211EEB">
        <w:rPr>
          <w:rFonts w:ascii="Verdana" w:hAnsi="Verdana"/>
        </w:rPr>
        <w:t xml:space="preserve">og </w:t>
      </w:r>
      <w:sdt>
        <w:sdtPr>
          <w:rPr>
            <w:rFonts w:ascii="Verdana" w:hAnsi="Verdana"/>
          </w:rPr>
          <w:id w:val="334120543"/>
          <w:citation/>
        </w:sdtPr>
        <w:sdtEndPr/>
        <w:sdtContent>
          <w:r w:rsidR="00211EEB">
            <w:rPr>
              <w:rFonts w:ascii="Verdana" w:hAnsi="Verdana"/>
            </w:rPr>
            <w:fldChar w:fldCharType="begin"/>
          </w:r>
          <w:r w:rsidR="00211EEB">
            <w:rPr>
              <w:rFonts w:ascii="Verdana" w:hAnsi="Verdana"/>
            </w:rPr>
            <w:instrText xml:space="preserve"> CITATION Fin14 \l 1030 </w:instrText>
          </w:r>
          <w:r w:rsidR="00211EEB">
            <w:rPr>
              <w:rFonts w:ascii="Verdana" w:hAnsi="Verdana"/>
            </w:rPr>
            <w:fldChar w:fldCharType="separate"/>
          </w:r>
          <w:r w:rsidR="006A0FEA" w:rsidRPr="006A0FEA">
            <w:rPr>
              <w:rFonts w:ascii="Verdana" w:hAnsi="Verdana"/>
              <w:noProof/>
            </w:rPr>
            <w:t>(Finansministeriet, 2014)</w:t>
          </w:r>
          <w:r w:rsidR="00211EEB">
            <w:rPr>
              <w:rFonts w:ascii="Verdana" w:hAnsi="Verdana"/>
            </w:rPr>
            <w:fldChar w:fldCharType="end"/>
          </w:r>
        </w:sdtContent>
      </w:sdt>
      <w:r w:rsidRPr="00554553">
        <w:rPr>
          <w:rFonts w:ascii="Verdana" w:hAnsi="Verdana"/>
        </w:rPr>
        <w:t xml:space="preserve">. </w:t>
      </w:r>
      <w:r w:rsidR="00C73A61" w:rsidRPr="00554553">
        <w:rPr>
          <w:rFonts w:ascii="Verdana" w:hAnsi="Verdana"/>
        </w:rPr>
        <w:t xml:space="preserve">Spørgsmålet </w:t>
      </w:r>
      <w:r w:rsidR="00C91F5D">
        <w:rPr>
          <w:rFonts w:ascii="Verdana" w:hAnsi="Verdana"/>
        </w:rPr>
        <w:t xml:space="preserve">vi stiller her </w:t>
      </w:r>
      <w:r w:rsidR="00C73A61" w:rsidRPr="00554553">
        <w:rPr>
          <w:rFonts w:ascii="Verdana" w:hAnsi="Verdana"/>
        </w:rPr>
        <w:t xml:space="preserve">er, om de </w:t>
      </w:r>
      <w:r w:rsidR="00211EEB">
        <w:rPr>
          <w:rFonts w:ascii="Verdana" w:hAnsi="Verdana"/>
        </w:rPr>
        <w:t xml:space="preserve">positive </w:t>
      </w:r>
      <w:r w:rsidR="00C73A61" w:rsidRPr="00554553">
        <w:rPr>
          <w:rFonts w:ascii="Verdana" w:hAnsi="Verdana"/>
        </w:rPr>
        <w:t xml:space="preserve">produktivitetseffekter af </w:t>
      </w:r>
      <w:r w:rsidR="00F154B5">
        <w:rPr>
          <w:rFonts w:ascii="Verdana" w:hAnsi="Verdana"/>
        </w:rPr>
        <w:t>øget bevilling til at uddanne 100</w:t>
      </w:r>
      <w:r w:rsidR="00211EEB">
        <w:rPr>
          <w:rFonts w:ascii="Verdana" w:hAnsi="Verdana"/>
        </w:rPr>
        <w:t xml:space="preserve"> flere med en kandidatuddannelse </w:t>
      </w:r>
      <w:r w:rsidR="00C73A61" w:rsidRPr="00554553">
        <w:rPr>
          <w:rFonts w:ascii="Verdana" w:hAnsi="Verdana"/>
        </w:rPr>
        <w:t xml:space="preserve">vil </w:t>
      </w:r>
      <w:r w:rsidRPr="00554553">
        <w:rPr>
          <w:rFonts w:ascii="Verdana" w:hAnsi="Verdana"/>
        </w:rPr>
        <w:t>være så store, at</w:t>
      </w:r>
      <w:r w:rsidR="00C73A61" w:rsidRPr="00554553">
        <w:rPr>
          <w:rFonts w:ascii="Verdana" w:hAnsi="Verdana"/>
        </w:rPr>
        <w:t xml:space="preserve"> </w:t>
      </w:r>
      <w:r w:rsidR="00211EEB">
        <w:rPr>
          <w:rFonts w:ascii="Verdana" w:hAnsi="Verdana"/>
        </w:rPr>
        <w:t>det kan betegnes som ”en g</w:t>
      </w:r>
      <w:r w:rsidR="00F154B5">
        <w:rPr>
          <w:rFonts w:ascii="Verdana" w:hAnsi="Verdana"/>
        </w:rPr>
        <w:t>od investering” for statskassen?</w:t>
      </w:r>
      <w:r w:rsidR="00E619E6">
        <w:rPr>
          <w:rFonts w:ascii="Verdana" w:hAnsi="Verdana"/>
        </w:rPr>
        <w:t xml:space="preserve"> </w:t>
      </w:r>
      <w:r w:rsidR="00E619E6" w:rsidRPr="006759E9">
        <w:rPr>
          <w:rFonts w:ascii="Verdana" w:hAnsi="Verdana"/>
        </w:rPr>
        <w:t>Her e</w:t>
      </w:r>
      <w:r w:rsidR="00594303">
        <w:rPr>
          <w:rFonts w:ascii="Verdana" w:hAnsi="Verdana"/>
        </w:rPr>
        <w:t>r</w:t>
      </w:r>
      <w:r w:rsidR="00E619E6" w:rsidRPr="006759E9">
        <w:rPr>
          <w:rFonts w:ascii="Verdana" w:hAnsi="Verdana"/>
        </w:rPr>
        <w:t xml:space="preserve"> det værd at n</w:t>
      </w:r>
      <w:r w:rsidR="00CB32ED" w:rsidRPr="006759E9">
        <w:rPr>
          <w:rFonts w:ascii="Verdana" w:hAnsi="Verdana"/>
        </w:rPr>
        <w:t xml:space="preserve">ævne, at det traditionelt </w:t>
      </w:r>
      <w:r w:rsidR="00CB32ED" w:rsidRPr="006759E9">
        <w:rPr>
          <w:rFonts w:ascii="Verdana" w:hAnsi="Verdana"/>
        </w:rPr>
        <w:lastRenderedPageBreak/>
        <w:t>antages, at produktivitetsvækst ikke har nogen indflydelse på de offentl</w:t>
      </w:r>
      <w:r w:rsidR="00257599" w:rsidRPr="006759E9">
        <w:rPr>
          <w:rFonts w:ascii="Verdana" w:hAnsi="Verdana"/>
        </w:rPr>
        <w:t>ige finanser. Således skriver Finansministeriet i Finansredegørelsen fra 2014 følgende om sa</w:t>
      </w:r>
      <w:r w:rsidR="00BB33CF">
        <w:rPr>
          <w:rFonts w:ascii="Verdana" w:hAnsi="Verdana"/>
        </w:rPr>
        <w:t>mmenhængen mellem øget produktivitet</w:t>
      </w:r>
      <w:r w:rsidR="00257599" w:rsidRPr="006759E9">
        <w:rPr>
          <w:rFonts w:ascii="Verdana" w:hAnsi="Verdana"/>
        </w:rPr>
        <w:t xml:space="preserve"> og de offentlige finanser:</w:t>
      </w:r>
    </w:p>
    <w:p w14:paraId="72409BBE" w14:textId="77777777" w:rsidR="00257599" w:rsidRPr="006759E9" w:rsidRDefault="00257599" w:rsidP="00554553">
      <w:pPr>
        <w:pStyle w:val="NoSpacing"/>
        <w:rPr>
          <w:rFonts w:ascii="Verdana" w:hAnsi="Verdana"/>
        </w:rPr>
      </w:pPr>
    </w:p>
    <w:p w14:paraId="1424127F" w14:textId="7868A038" w:rsidR="00C73A61" w:rsidRPr="006759E9" w:rsidRDefault="00257599" w:rsidP="00672DD3">
      <w:pPr>
        <w:pStyle w:val="NoSpacing"/>
        <w:ind w:left="1304" w:firstLine="1"/>
        <w:rPr>
          <w:rFonts w:ascii="Verdana" w:hAnsi="Verdana"/>
          <w:i/>
        </w:rPr>
      </w:pPr>
      <w:r w:rsidRPr="006759E9">
        <w:rPr>
          <w:rFonts w:ascii="Verdana" w:hAnsi="Verdana"/>
          <w:i/>
        </w:rPr>
        <w:t>”</w:t>
      </w:r>
      <w:r w:rsidR="00672DD3" w:rsidRPr="006759E9">
        <w:rPr>
          <w:rFonts w:ascii="Verdana" w:hAnsi="Verdana"/>
          <w:i/>
        </w:rPr>
        <w:t xml:space="preserve">På længere sigt er virkningen på de offentlige finanser omtrent neutral, idet de positive virkninger af højere arbejdsudbud gennem øgede skatteindtægter omtrent modsvarer de øgede udgifter til drift af uddannelsesinstitutionerne og SU. </w:t>
      </w:r>
      <w:r w:rsidR="00672DD3" w:rsidRPr="00BB33CF">
        <w:rPr>
          <w:rFonts w:ascii="Verdana" w:hAnsi="Verdana"/>
          <w:i/>
          <w:u w:val="single"/>
        </w:rPr>
        <w:t>Samtidig er den øgede produktivitet, som følger af et højere uddannelsesniveau, som udgangspunkt neutral for de offentlige finanser på langt sigt</w:t>
      </w:r>
      <w:r w:rsidR="00672DD3" w:rsidRPr="006759E9">
        <w:rPr>
          <w:rFonts w:ascii="Verdana" w:hAnsi="Verdana"/>
          <w:i/>
        </w:rPr>
        <w:t xml:space="preserve">. ” </w:t>
      </w:r>
      <w:sdt>
        <w:sdtPr>
          <w:rPr>
            <w:rFonts w:ascii="Verdana" w:hAnsi="Verdana"/>
            <w:i/>
          </w:rPr>
          <w:id w:val="1237506426"/>
          <w:citation/>
        </w:sdtPr>
        <w:sdtEndPr/>
        <w:sdtContent>
          <w:r w:rsidRPr="006759E9">
            <w:rPr>
              <w:rFonts w:ascii="Verdana" w:hAnsi="Verdana"/>
              <w:i/>
            </w:rPr>
            <w:fldChar w:fldCharType="begin"/>
          </w:r>
          <w:r w:rsidRPr="006759E9">
            <w:rPr>
              <w:rFonts w:ascii="Verdana" w:hAnsi="Verdana"/>
              <w:i/>
            </w:rPr>
            <w:instrText xml:space="preserve"> CITATION Fin14 \l 1030 </w:instrText>
          </w:r>
          <w:r w:rsidRPr="006759E9">
            <w:rPr>
              <w:rFonts w:ascii="Verdana" w:hAnsi="Verdana"/>
              <w:i/>
            </w:rPr>
            <w:fldChar w:fldCharType="separate"/>
          </w:r>
          <w:r w:rsidRPr="006759E9">
            <w:rPr>
              <w:rFonts w:ascii="Verdana" w:hAnsi="Verdana"/>
              <w:noProof/>
            </w:rPr>
            <w:t>(Finansministeriet, 2014)</w:t>
          </w:r>
          <w:r w:rsidRPr="006759E9">
            <w:rPr>
              <w:rFonts w:ascii="Verdana" w:hAnsi="Verdana"/>
              <w:i/>
            </w:rPr>
            <w:fldChar w:fldCharType="end"/>
          </w:r>
        </w:sdtContent>
      </w:sdt>
      <w:r w:rsidRPr="006759E9">
        <w:rPr>
          <w:rFonts w:ascii="Verdana" w:hAnsi="Verdana"/>
          <w:i/>
        </w:rPr>
        <w:t>.</w:t>
      </w:r>
    </w:p>
    <w:p w14:paraId="7BAC0950" w14:textId="77777777" w:rsidR="00672DD3" w:rsidRPr="006759E9" w:rsidRDefault="00672DD3" w:rsidP="00257599">
      <w:pPr>
        <w:pStyle w:val="NoSpacing"/>
        <w:rPr>
          <w:rFonts w:ascii="Verdana" w:hAnsi="Verdana"/>
        </w:rPr>
      </w:pPr>
    </w:p>
    <w:p w14:paraId="50E4A4F4" w14:textId="643454B8" w:rsidR="00C67901" w:rsidRPr="006759E9" w:rsidRDefault="00672DD3" w:rsidP="00257599">
      <w:pPr>
        <w:pStyle w:val="NoSpacing"/>
        <w:rPr>
          <w:rFonts w:ascii="Verdana" w:hAnsi="Verdana"/>
        </w:rPr>
      </w:pPr>
      <w:r w:rsidRPr="006759E9">
        <w:rPr>
          <w:rFonts w:ascii="Verdana" w:hAnsi="Verdana"/>
        </w:rPr>
        <w:t xml:space="preserve">Det er et standardresultat, at øget produktivitet ingen effekt vil have på den offentlige saldo. Resultat stammer imidlertid direkte fra de antagelser, </w:t>
      </w:r>
      <w:r w:rsidR="00E64759" w:rsidRPr="006759E9">
        <w:rPr>
          <w:rFonts w:ascii="Verdana" w:hAnsi="Verdana"/>
        </w:rPr>
        <w:t xml:space="preserve">der </w:t>
      </w:r>
      <w:r w:rsidR="007205BC">
        <w:rPr>
          <w:rFonts w:ascii="Verdana" w:hAnsi="Verdana"/>
        </w:rPr>
        <w:t>læ</w:t>
      </w:r>
      <w:r w:rsidRPr="006759E9">
        <w:rPr>
          <w:rFonts w:ascii="Verdana" w:hAnsi="Verdana"/>
        </w:rPr>
        <w:t>g</w:t>
      </w:r>
      <w:r w:rsidR="00E64759" w:rsidRPr="006759E9">
        <w:rPr>
          <w:rFonts w:ascii="Verdana" w:hAnsi="Verdana"/>
        </w:rPr>
        <w:t xml:space="preserve">ges </w:t>
      </w:r>
      <w:r w:rsidRPr="006759E9">
        <w:rPr>
          <w:rFonts w:ascii="Verdana" w:hAnsi="Verdana"/>
        </w:rPr>
        <w:t>til grund for</w:t>
      </w:r>
      <w:r w:rsidR="00E64759" w:rsidRPr="006759E9">
        <w:rPr>
          <w:rFonts w:ascii="Verdana" w:hAnsi="Verdana"/>
        </w:rPr>
        <w:t xml:space="preserve"> – særligt de langfristede – fremskrivninger. Disse antagelser medfører, i grove træk, at de offentlige udgifter og indtægter bevæger sig parallelt med produktivitetsudviklingen.</w:t>
      </w:r>
      <w:r w:rsidR="00A52242" w:rsidRPr="006759E9">
        <w:rPr>
          <w:rFonts w:ascii="Verdana" w:hAnsi="Verdana"/>
        </w:rPr>
        <w:t xml:space="preserve"> I praksis omsættes antagelsen – rent modelteknisk – forskelligt. I nogle modeller låses den offentlige sektor til at udgøre en konstant andel af bruttoværditilvæksten. I andre mere avancerede modeller følger en række af de offentlige ud</w:t>
      </w:r>
      <w:r w:rsidR="00C67901" w:rsidRPr="006759E9">
        <w:rPr>
          <w:rFonts w:ascii="Verdana" w:hAnsi="Verdana"/>
        </w:rPr>
        <w:t xml:space="preserve">gifter, </w:t>
      </w:r>
      <w:r w:rsidR="00A07C78" w:rsidRPr="006759E9">
        <w:rPr>
          <w:rFonts w:ascii="Verdana" w:hAnsi="Verdana"/>
        </w:rPr>
        <w:t>med udviklingen i indtægtsgrundlag</w:t>
      </w:r>
      <w:r w:rsidR="00FC7252" w:rsidRPr="006759E9">
        <w:rPr>
          <w:rFonts w:ascii="Verdana" w:hAnsi="Verdana"/>
        </w:rPr>
        <w:t xml:space="preserve">et. I </w:t>
      </w:r>
      <w:proofErr w:type="spellStart"/>
      <w:r w:rsidR="00FC7252" w:rsidRPr="006759E9">
        <w:rPr>
          <w:rFonts w:ascii="Verdana" w:hAnsi="Verdana"/>
        </w:rPr>
        <w:t>faktaboksen</w:t>
      </w:r>
      <w:proofErr w:type="spellEnd"/>
      <w:r w:rsidR="00FC7252" w:rsidRPr="006759E9">
        <w:rPr>
          <w:rFonts w:ascii="Verdana" w:hAnsi="Verdana"/>
        </w:rPr>
        <w:t xml:space="preserve"> herunder er de fire forskellige kanaler, som i et modelteknisk standardforløb</w:t>
      </w:r>
      <w:r w:rsidR="002667AC" w:rsidRPr="006759E9">
        <w:rPr>
          <w:rFonts w:ascii="Verdana" w:hAnsi="Verdana"/>
        </w:rPr>
        <w:t xml:space="preserve"> er direkte afhængige af </w:t>
      </w:r>
      <w:r w:rsidR="00FC7252" w:rsidRPr="006759E9">
        <w:rPr>
          <w:rFonts w:ascii="Verdana" w:hAnsi="Verdana"/>
        </w:rPr>
        <w:t>produktivitet</w:t>
      </w:r>
      <w:r w:rsidR="002667AC" w:rsidRPr="006759E9">
        <w:rPr>
          <w:rFonts w:ascii="Verdana" w:hAnsi="Verdana"/>
        </w:rPr>
        <w:t>sudviklingen. Ifølge både Finansministeriet og DØR, opvejer pkt. 2-4 overordnet pkt.</w:t>
      </w:r>
      <w:r w:rsidR="007175FD" w:rsidRPr="006759E9">
        <w:rPr>
          <w:rFonts w:ascii="Verdana" w:hAnsi="Verdana"/>
        </w:rPr>
        <w:t xml:space="preserve"> 1, hvilket medfører</w:t>
      </w:r>
      <w:r w:rsidR="009D6109" w:rsidRPr="006759E9">
        <w:rPr>
          <w:rFonts w:ascii="Verdana" w:hAnsi="Verdana"/>
        </w:rPr>
        <w:t xml:space="preserve"> at de offentlige finanser er nogenlunde neutral</w:t>
      </w:r>
      <w:r w:rsidR="00594303">
        <w:rPr>
          <w:rFonts w:ascii="Verdana" w:hAnsi="Verdana"/>
        </w:rPr>
        <w:t>e</w:t>
      </w:r>
      <w:r w:rsidR="009D6109" w:rsidRPr="006759E9">
        <w:rPr>
          <w:rFonts w:ascii="Verdana" w:hAnsi="Verdana"/>
        </w:rPr>
        <w:t xml:space="preserve"> overfor øget produktivitet</w:t>
      </w:r>
      <w:r w:rsidR="00C67901" w:rsidRPr="006759E9">
        <w:rPr>
          <w:rFonts w:ascii="Verdana" w:hAnsi="Verdana"/>
        </w:rPr>
        <w:t>.</w:t>
      </w:r>
    </w:p>
    <w:p w14:paraId="44E9CA15" w14:textId="77777777" w:rsidR="00492717" w:rsidRPr="006759E9" w:rsidRDefault="00492717" w:rsidP="00257599">
      <w:pPr>
        <w:pStyle w:val="NoSpacing"/>
        <w:rPr>
          <w:rFonts w:ascii="Verdana" w:hAnsi="Verdana"/>
        </w:rPr>
      </w:pPr>
    </w:p>
    <w:p w14:paraId="49B6C3CF" w14:textId="66C6722F" w:rsidR="007175FD" w:rsidRPr="006759E9" w:rsidRDefault="007175FD" w:rsidP="00257599">
      <w:pPr>
        <w:pStyle w:val="NoSpacing"/>
        <w:rPr>
          <w:rFonts w:ascii="Verdana" w:hAnsi="Verdana"/>
          <w:i/>
        </w:rPr>
      </w:pPr>
      <w:proofErr w:type="spellStart"/>
      <w:r w:rsidRPr="006759E9">
        <w:rPr>
          <w:rFonts w:ascii="Verdana" w:hAnsi="Verdana"/>
          <w:i/>
        </w:rPr>
        <w:t>Faktaboks</w:t>
      </w:r>
      <w:proofErr w:type="spellEnd"/>
      <w:r w:rsidRPr="006759E9">
        <w:rPr>
          <w:rFonts w:ascii="Verdana" w:hAnsi="Verdana"/>
          <w:i/>
        </w:rPr>
        <w:t xml:space="preserve"> 1: Virkninger på de offentlige finanser af øget produktivitet, standardantagelser hos FM, DØR mfl. </w:t>
      </w:r>
    </w:p>
    <w:p w14:paraId="0B54C3FE" w14:textId="16D19EA6" w:rsidR="00492717" w:rsidRPr="006759E9" w:rsidRDefault="00492717" w:rsidP="00492717">
      <w:pPr>
        <w:pStyle w:val="NoSpacing"/>
        <w:numPr>
          <w:ilvl w:val="0"/>
          <w:numId w:val="18"/>
        </w:numPr>
        <w:pBdr>
          <w:top w:val="single" w:sz="4" w:space="1" w:color="auto"/>
          <w:left w:val="single" w:sz="4" w:space="4" w:color="auto"/>
          <w:bottom w:val="single" w:sz="4" w:space="1" w:color="auto"/>
          <w:right w:val="single" w:sz="4" w:space="4" w:color="auto"/>
        </w:pBdr>
        <w:rPr>
          <w:rFonts w:ascii="Verdana" w:hAnsi="Verdana"/>
        </w:rPr>
      </w:pPr>
      <w:r w:rsidRPr="006759E9">
        <w:rPr>
          <w:rFonts w:ascii="Verdana" w:hAnsi="Verdana"/>
        </w:rPr>
        <w:t>Større indtægter fra skatter og afgifter (ved givne skatte- og afgiftssatser), fordi skattegrundlaget og den disponible indkomst efter skat stiger (ved givet arbejdsudbud).</w:t>
      </w:r>
    </w:p>
    <w:p w14:paraId="7D3B7BF8" w14:textId="0FF646E5" w:rsidR="00492717" w:rsidRPr="006759E9" w:rsidRDefault="00492717" w:rsidP="00492717">
      <w:pPr>
        <w:pStyle w:val="NoSpacing"/>
        <w:numPr>
          <w:ilvl w:val="0"/>
          <w:numId w:val="18"/>
        </w:numPr>
        <w:pBdr>
          <w:top w:val="single" w:sz="4" w:space="1" w:color="auto"/>
          <w:left w:val="single" w:sz="4" w:space="4" w:color="auto"/>
          <w:bottom w:val="single" w:sz="4" w:space="1" w:color="auto"/>
          <w:right w:val="single" w:sz="4" w:space="4" w:color="auto"/>
        </w:pBdr>
        <w:rPr>
          <w:rFonts w:ascii="Verdana" w:hAnsi="Verdana"/>
        </w:rPr>
      </w:pPr>
      <w:r w:rsidRPr="006759E9">
        <w:rPr>
          <w:rFonts w:ascii="Verdana" w:hAnsi="Verdana"/>
        </w:rPr>
        <w:t>Større udgifter til løn til offentligt ansatte, idet der antages samme lønstigningstakt i den offentlige sektor som i den private sektor.</w:t>
      </w:r>
    </w:p>
    <w:p w14:paraId="4027B0DC" w14:textId="02440694" w:rsidR="00492717" w:rsidRPr="006759E9" w:rsidRDefault="00492717" w:rsidP="00492717">
      <w:pPr>
        <w:pStyle w:val="NoSpacing"/>
        <w:numPr>
          <w:ilvl w:val="0"/>
          <w:numId w:val="18"/>
        </w:numPr>
        <w:pBdr>
          <w:top w:val="single" w:sz="4" w:space="1" w:color="auto"/>
          <w:left w:val="single" w:sz="4" w:space="4" w:color="auto"/>
          <w:bottom w:val="single" w:sz="4" w:space="1" w:color="auto"/>
          <w:right w:val="single" w:sz="4" w:space="4" w:color="auto"/>
        </w:pBdr>
        <w:rPr>
          <w:rFonts w:ascii="Verdana" w:hAnsi="Verdana"/>
        </w:rPr>
      </w:pPr>
      <w:r w:rsidRPr="006759E9">
        <w:rPr>
          <w:rFonts w:ascii="Verdana" w:hAnsi="Verdana"/>
        </w:rPr>
        <w:t>Større udgifter til offentligt varekøb, idet der antages et uændret forhold mellem varekøb og offentlig lønsum. Det svarer til, at der i forløbet efter 2020 antages en realvækst i det offentliges køb af varer og tjenester, som svarer til den reale velstandsstigning i økonomien, så det offentlige varekøb udgør en uændret andel af BNP.</w:t>
      </w:r>
    </w:p>
    <w:p w14:paraId="57FA56E7" w14:textId="0BC0DD13" w:rsidR="00492717" w:rsidRPr="006759E9" w:rsidRDefault="00492717" w:rsidP="00492717">
      <w:pPr>
        <w:pStyle w:val="NoSpacing"/>
        <w:numPr>
          <w:ilvl w:val="0"/>
          <w:numId w:val="18"/>
        </w:numPr>
        <w:pBdr>
          <w:top w:val="single" w:sz="4" w:space="1" w:color="auto"/>
          <w:left w:val="single" w:sz="4" w:space="4" w:color="auto"/>
          <w:bottom w:val="single" w:sz="4" w:space="1" w:color="auto"/>
          <w:right w:val="single" w:sz="4" w:space="4" w:color="auto"/>
        </w:pBdr>
        <w:rPr>
          <w:rFonts w:ascii="Verdana" w:hAnsi="Verdana"/>
        </w:rPr>
      </w:pPr>
      <w:r w:rsidRPr="006759E9">
        <w:rPr>
          <w:rFonts w:ascii="Verdana" w:hAnsi="Verdana"/>
        </w:rPr>
        <w:t>Større udgifter til indkomstoverførsler, idet satsreguleringen omtrent følger den gennemsnitlige lønudvikling i den private sektor.</w:t>
      </w:r>
    </w:p>
    <w:p w14:paraId="3718492D" w14:textId="77777777" w:rsidR="007175FD" w:rsidRPr="006759E9" w:rsidRDefault="007175FD" w:rsidP="007175FD">
      <w:pPr>
        <w:pStyle w:val="NoSpacing"/>
        <w:pBdr>
          <w:top w:val="single" w:sz="4" w:space="1" w:color="auto"/>
          <w:left w:val="single" w:sz="4" w:space="4" w:color="auto"/>
          <w:bottom w:val="single" w:sz="4" w:space="1" w:color="auto"/>
          <w:right w:val="single" w:sz="4" w:space="4" w:color="auto"/>
        </w:pBdr>
        <w:ind w:left="360"/>
        <w:rPr>
          <w:rFonts w:ascii="Verdana" w:hAnsi="Verdana"/>
        </w:rPr>
      </w:pPr>
    </w:p>
    <w:p w14:paraId="2D5C8953" w14:textId="6FA6EC22" w:rsidR="007175FD" w:rsidRPr="006759E9" w:rsidRDefault="007175FD" w:rsidP="007175FD">
      <w:pPr>
        <w:pStyle w:val="NoSpacing"/>
        <w:pBdr>
          <w:top w:val="single" w:sz="4" w:space="1" w:color="auto"/>
          <w:left w:val="single" w:sz="4" w:space="4" w:color="auto"/>
          <w:bottom w:val="single" w:sz="4" w:space="1" w:color="auto"/>
          <w:right w:val="single" w:sz="4" w:space="4" w:color="auto"/>
        </w:pBdr>
        <w:ind w:left="360"/>
        <w:rPr>
          <w:rFonts w:ascii="Verdana" w:hAnsi="Verdana"/>
          <w:i/>
        </w:rPr>
      </w:pPr>
      <w:r w:rsidRPr="006759E9">
        <w:rPr>
          <w:rFonts w:ascii="Verdana" w:hAnsi="Verdana"/>
          <w:i/>
        </w:rPr>
        <w:t xml:space="preserve">Kilde: </w:t>
      </w:r>
      <w:sdt>
        <w:sdtPr>
          <w:rPr>
            <w:rFonts w:ascii="Verdana" w:hAnsi="Verdana"/>
            <w:i/>
          </w:rPr>
          <w:id w:val="1969541926"/>
          <w:citation/>
        </w:sdtPr>
        <w:sdtEndPr/>
        <w:sdtContent>
          <w:r w:rsidRPr="006759E9">
            <w:rPr>
              <w:rFonts w:ascii="Verdana" w:hAnsi="Verdana"/>
              <w:i/>
            </w:rPr>
            <w:fldChar w:fldCharType="begin"/>
          </w:r>
          <w:r w:rsidRPr="006759E9">
            <w:rPr>
              <w:rFonts w:ascii="Verdana" w:hAnsi="Verdana"/>
              <w:i/>
            </w:rPr>
            <w:instrText xml:space="preserve"> CITATION Fin14 \l 1030 </w:instrText>
          </w:r>
          <w:r w:rsidRPr="006759E9">
            <w:rPr>
              <w:rFonts w:ascii="Verdana" w:hAnsi="Verdana"/>
              <w:i/>
            </w:rPr>
            <w:fldChar w:fldCharType="separate"/>
          </w:r>
          <w:r w:rsidRPr="006759E9">
            <w:rPr>
              <w:rFonts w:ascii="Verdana" w:hAnsi="Verdana"/>
              <w:noProof/>
            </w:rPr>
            <w:t>(Finansministeriet, 2014)</w:t>
          </w:r>
          <w:r w:rsidRPr="006759E9">
            <w:rPr>
              <w:rFonts w:ascii="Verdana" w:hAnsi="Verdana"/>
              <w:i/>
            </w:rPr>
            <w:fldChar w:fldCharType="end"/>
          </w:r>
        </w:sdtContent>
      </w:sdt>
      <w:r w:rsidRPr="006759E9">
        <w:rPr>
          <w:rFonts w:ascii="Verdana" w:hAnsi="Verdana"/>
          <w:i/>
        </w:rPr>
        <w:t>.</w:t>
      </w:r>
    </w:p>
    <w:p w14:paraId="63634F58" w14:textId="77777777" w:rsidR="00EE7CCC" w:rsidRDefault="00EE7CCC" w:rsidP="00257599">
      <w:pPr>
        <w:pStyle w:val="NoSpacing"/>
        <w:rPr>
          <w:rFonts w:ascii="Verdana" w:hAnsi="Verdana"/>
        </w:rPr>
      </w:pPr>
    </w:p>
    <w:p w14:paraId="0D4CBFF8" w14:textId="39E01352" w:rsidR="00A31B72" w:rsidRPr="006759E9" w:rsidRDefault="009D6109" w:rsidP="00257599">
      <w:pPr>
        <w:pStyle w:val="NoSpacing"/>
        <w:rPr>
          <w:rFonts w:ascii="Verdana" w:hAnsi="Verdana"/>
        </w:rPr>
      </w:pPr>
      <w:r w:rsidRPr="006759E9">
        <w:rPr>
          <w:rFonts w:ascii="Verdana" w:hAnsi="Verdana"/>
        </w:rPr>
        <w:lastRenderedPageBreak/>
        <w:t xml:space="preserve">De antagelser, som præsenteres i </w:t>
      </w:r>
      <w:proofErr w:type="spellStart"/>
      <w:r w:rsidRPr="006759E9">
        <w:rPr>
          <w:rFonts w:ascii="Verdana" w:hAnsi="Verdana"/>
        </w:rPr>
        <w:t>faktaboksen</w:t>
      </w:r>
      <w:proofErr w:type="spellEnd"/>
      <w:r w:rsidRPr="006759E9">
        <w:rPr>
          <w:rFonts w:ascii="Verdana" w:hAnsi="Verdana"/>
        </w:rPr>
        <w:t>, og som ligges til grund for de langsigtede fremskrivninger</w:t>
      </w:r>
      <w:r w:rsidR="00726538" w:rsidRPr="006759E9">
        <w:rPr>
          <w:rFonts w:ascii="Verdana" w:hAnsi="Verdana"/>
        </w:rPr>
        <w:t>,</w:t>
      </w:r>
      <w:r w:rsidRPr="006759E9">
        <w:rPr>
          <w:rFonts w:ascii="Verdana" w:hAnsi="Verdana"/>
        </w:rPr>
        <w:t xml:space="preserve"> i såvel traditionelle makroøkonomiske modeller og i Finansministeriets officielle publikationer</w:t>
      </w:r>
      <w:r w:rsidR="00726538" w:rsidRPr="006759E9">
        <w:rPr>
          <w:rFonts w:ascii="Verdana" w:hAnsi="Verdana"/>
        </w:rPr>
        <w:t>,</w:t>
      </w:r>
      <w:r w:rsidRPr="006759E9">
        <w:rPr>
          <w:rFonts w:ascii="Verdana" w:hAnsi="Verdana"/>
        </w:rPr>
        <w:t xml:space="preserve"> repræsenterer imidlertid ikke en </w:t>
      </w:r>
      <w:r w:rsidR="00554A1D" w:rsidRPr="006759E9">
        <w:rPr>
          <w:rFonts w:ascii="Verdana" w:hAnsi="Verdana"/>
        </w:rPr>
        <w:t>o</w:t>
      </w:r>
      <w:r w:rsidR="00726538" w:rsidRPr="006759E9">
        <w:rPr>
          <w:rFonts w:ascii="Verdana" w:hAnsi="Verdana"/>
        </w:rPr>
        <w:t>b</w:t>
      </w:r>
      <w:r w:rsidR="00554A1D" w:rsidRPr="006759E9">
        <w:rPr>
          <w:rFonts w:ascii="Verdana" w:hAnsi="Verdana"/>
        </w:rPr>
        <w:t>jektiv sandhed. De kan</w:t>
      </w:r>
      <w:r w:rsidR="00C67901" w:rsidRPr="006759E9">
        <w:rPr>
          <w:rFonts w:ascii="Verdana" w:hAnsi="Verdana"/>
        </w:rPr>
        <w:t>, som med alle antagelser i øvrigt,</w:t>
      </w:r>
      <w:r w:rsidR="00F03561" w:rsidRPr="006759E9">
        <w:rPr>
          <w:rFonts w:ascii="Verdana" w:hAnsi="Verdana"/>
        </w:rPr>
        <w:t xml:space="preserve"> udfordres. D</w:t>
      </w:r>
      <w:r w:rsidR="00726538" w:rsidRPr="006759E9">
        <w:rPr>
          <w:rFonts w:ascii="Verdana" w:hAnsi="Verdana"/>
        </w:rPr>
        <w:t>e er</w:t>
      </w:r>
      <w:r w:rsidR="00F03561" w:rsidRPr="006759E9">
        <w:rPr>
          <w:rFonts w:ascii="Verdana" w:hAnsi="Verdana"/>
        </w:rPr>
        <w:t xml:space="preserve"> et udtryk for</w:t>
      </w:r>
      <w:r w:rsidR="00AD4850" w:rsidRPr="006759E9">
        <w:rPr>
          <w:rFonts w:ascii="Verdana" w:hAnsi="Verdana"/>
        </w:rPr>
        <w:t xml:space="preserve"> det der vel kan kaldes det muliges kunst.</w:t>
      </w:r>
      <w:r w:rsidR="001F18EF" w:rsidRPr="006759E9">
        <w:rPr>
          <w:rFonts w:ascii="Verdana" w:hAnsi="Verdana"/>
        </w:rPr>
        <w:t xml:space="preserve"> </w:t>
      </w:r>
      <w:r w:rsidR="001961FE" w:rsidRPr="006759E9">
        <w:rPr>
          <w:rFonts w:ascii="Verdana" w:hAnsi="Verdana"/>
        </w:rPr>
        <w:t>I dette tilfælde e</w:t>
      </w:r>
      <w:r w:rsidR="007640C0" w:rsidRPr="006759E9">
        <w:rPr>
          <w:rFonts w:ascii="Verdana" w:hAnsi="Verdana"/>
        </w:rPr>
        <w:t xml:space="preserve">t </w:t>
      </w:r>
      <w:r w:rsidR="00F03561" w:rsidRPr="006759E9">
        <w:rPr>
          <w:rFonts w:ascii="Verdana" w:hAnsi="Verdana"/>
        </w:rPr>
        <w:t>kompromis</w:t>
      </w:r>
      <w:r w:rsidR="007640C0" w:rsidRPr="006759E9">
        <w:rPr>
          <w:rFonts w:ascii="Verdana" w:hAnsi="Verdana"/>
        </w:rPr>
        <w:t xml:space="preserve"> mellem ønsket om at </w:t>
      </w:r>
      <w:proofErr w:type="gramStart"/>
      <w:r w:rsidR="007640C0" w:rsidRPr="006759E9">
        <w:rPr>
          <w:rFonts w:ascii="Verdana" w:hAnsi="Verdana"/>
        </w:rPr>
        <w:t>lave</w:t>
      </w:r>
      <w:proofErr w:type="gramEnd"/>
      <w:r w:rsidR="00F03561" w:rsidRPr="006759E9">
        <w:rPr>
          <w:rFonts w:ascii="Verdana" w:hAnsi="Verdana"/>
        </w:rPr>
        <w:t xml:space="preserve"> fremskrivninger </w:t>
      </w:r>
      <w:r w:rsidR="007640C0" w:rsidRPr="006759E9">
        <w:rPr>
          <w:rFonts w:ascii="Verdana" w:hAnsi="Verdana"/>
        </w:rPr>
        <w:t xml:space="preserve">meget langt ud i fremtiden (f.eks. frem til 2100) </w:t>
      </w:r>
      <w:r w:rsidR="001961FE" w:rsidRPr="006759E9">
        <w:rPr>
          <w:rFonts w:ascii="Verdana" w:hAnsi="Verdana"/>
        </w:rPr>
        <w:t xml:space="preserve">på den ene side. Og på den anden side at </w:t>
      </w:r>
      <w:proofErr w:type="gramStart"/>
      <w:r w:rsidR="001961FE" w:rsidRPr="006759E9">
        <w:rPr>
          <w:rFonts w:ascii="Verdana" w:hAnsi="Verdana"/>
        </w:rPr>
        <w:t>basere</w:t>
      </w:r>
      <w:proofErr w:type="gramEnd"/>
      <w:r w:rsidR="001961FE" w:rsidRPr="006759E9">
        <w:rPr>
          <w:rFonts w:ascii="Verdana" w:hAnsi="Verdana"/>
        </w:rPr>
        <w:t xml:space="preserve"> fremskrivninger på </w:t>
      </w:r>
      <w:r w:rsidR="00A31B72" w:rsidRPr="006759E9">
        <w:rPr>
          <w:rFonts w:ascii="Verdana" w:hAnsi="Verdana"/>
        </w:rPr>
        <w:t>et så reelt og validt grundlag, som muligt</w:t>
      </w:r>
      <w:r w:rsidR="00554A1D" w:rsidRPr="006759E9">
        <w:rPr>
          <w:rFonts w:ascii="Verdana" w:hAnsi="Verdana"/>
        </w:rPr>
        <w:t>. Det er således i praksis særdeles vanskeligt at foretage en fremskrivning mere end 80 år ud i fremtiden, hvis ikke man anvender en række helt faste holdepunkter. Her betragtes antagelsen om</w:t>
      </w:r>
      <w:r w:rsidR="00594303">
        <w:rPr>
          <w:rFonts w:ascii="Verdana" w:hAnsi="Verdana"/>
        </w:rPr>
        <w:t>,</w:t>
      </w:r>
      <w:r w:rsidR="00554A1D" w:rsidRPr="006759E9">
        <w:rPr>
          <w:rFonts w:ascii="Verdana" w:hAnsi="Verdana"/>
        </w:rPr>
        <w:t xml:space="preserve"> at de offentlige udgifter mekanisk følger</w:t>
      </w:r>
      <w:r w:rsidR="00C54E36" w:rsidRPr="006759E9">
        <w:rPr>
          <w:rFonts w:ascii="Verdana" w:hAnsi="Verdana"/>
        </w:rPr>
        <w:t xml:space="preserve"> stigninger i</w:t>
      </w:r>
      <w:r w:rsidR="00554A1D" w:rsidRPr="006759E9">
        <w:rPr>
          <w:rFonts w:ascii="Verdana" w:hAnsi="Verdana"/>
        </w:rPr>
        <w:t xml:space="preserve"> indtægtsgrundlaget – i hvert fald den </w:t>
      </w:r>
      <w:r w:rsidR="00C54E36" w:rsidRPr="006759E9">
        <w:rPr>
          <w:rFonts w:ascii="Verdana" w:hAnsi="Verdana"/>
        </w:rPr>
        <w:t>del der skyldes øget produktivitet – som ganske ukontroversiel</w:t>
      </w:r>
      <w:r w:rsidR="00A31B72" w:rsidRPr="006759E9">
        <w:rPr>
          <w:rFonts w:ascii="Verdana" w:hAnsi="Verdana"/>
        </w:rPr>
        <w:t>.</w:t>
      </w:r>
    </w:p>
    <w:p w14:paraId="7C3C4AC3" w14:textId="77777777" w:rsidR="00A31B72" w:rsidRPr="006759E9" w:rsidRDefault="00A31B72" w:rsidP="00257599">
      <w:pPr>
        <w:pStyle w:val="NoSpacing"/>
        <w:rPr>
          <w:rFonts w:ascii="Verdana" w:hAnsi="Verdana"/>
        </w:rPr>
      </w:pPr>
    </w:p>
    <w:p w14:paraId="4B057A88" w14:textId="693C38A1" w:rsidR="00F00E9F" w:rsidRPr="006759E9" w:rsidRDefault="00C54E36" w:rsidP="0037733F">
      <w:pPr>
        <w:pStyle w:val="NoSpacing"/>
        <w:rPr>
          <w:rFonts w:ascii="Verdana" w:hAnsi="Verdana"/>
        </w:rPr>
      </w:pPr>
      <w:r w:rsidRPr="006759E9">
        <w:rPr>
          <w:rFonts w:ascii="Verdana" w:hAnsi="Verdana"/>
        </w:rPr>
        <w:t xml:space="preserve">Men som det vil blive </w:t>
      </w:r>
      <w:r w:rsidR="007208DC" w:rsidRPr="006759E9">
        <w:rPr>
          <w:rFonts w:ascii="Verdana" w:hAnsi="Verdana"/>
        </w:rPr>
        <w:t>redegjort for</w:t>
      </w:r>
      <w:r w:rsidRPr="006759E9">
        <w:rPr>
          <w:rFonts w:ascii="Verdana" w:hAnsi="Verdana"/>
        </w:rPr>
        <w:t xml:space="preserve"> herunder</w:t>
      </w:r>
      <w:r w:rsidR="007208DC" w:rsidRPr="006759E9">
        <w:rPr>
          <w:rFonts w:ascii="Verdana" w:hAnsi="Verdana"/>
        </w:rPr>
        <w:t xml:space="preserve">, </w:t>
      </w:r>
      <w:r w:rsidRPr="006759E9">
        <w:rPr>
          <w:rFonts w:ascii="Verdana" w:hAnsi="Verdana"/>
        </w:rPr>
        <w:t xml:space="preserve">forandres </w:t>
      </w:r>
      <w:r w:rsidR="007208DC" w:rsidRPr="006759E9">
        <w:rPr>
          <w:rFonts w:ascii="Verdana" w:hAnsi="Verdana"/>
        </w:rPr>
        <w:t xml:space="preserve">standardresultatet fuldstændigt, når der lægges en konkret, realpolitisk kontekst </w:t>
      </w:r>
      <w:r w:rsidR="00FA44E3" w:rsidRPr="006759E9">
        <w:rPr>
          <w:rFonts w:ascii="Verdana" w:hAnsi="Verdana"/>
        </w:rPr>
        <w:t xml:space="preserve">til grund for en </w:t>
      </w:r>
      <w:r w:rsidR="007208DC" w:rsidRPr="006759E9">
        <w:rPr>
          <w:rFonts w:ascii="Verdana" w:hAnsi="Verdana"/>
        </w:rPr>
        <w:t>analyse</w:t>
      </w:r>
      <w:r w:rsidRPr="006759E9">
        <w:rPr>
          <w:rFonts w:ascii="Verdana" w:hAnsi="Verdana"/>
        </w:rPr>
        <w:t xml:space="preserve"> af</w:t>
      </w:r>
      <w:r w:rsidR="0098553E">
        <w:rPr>
          <w:rFonts w:ascii="Verdana" w:hAnsi="Verdana"/>
        </w:rPr>
        <w:t>,</w:t>
      </w:r>
      <w:r w:rsidR="00FA44E3" w:rsidRPr="006759E9">
        <w:rPr>
          <w:rFonts w:ascii="Verdana" w:hAnsi="Verdana"/>
        </w:rPr>
        <w:t xml:space="preserve"> hvordan de offentlige finanser påvirkes af produktivitetsudvikling</w:t>
      </w:r>
      <w:r w:rsidR="007208DC" w:rsidRPr="006759E9">
        <w:rPr>
          <w:rFonts w:ascii="Verdana" w:hAnsi="Verdana"/>
        </w:rPr>
        <w:t>. Dette er netop hvad Finansministeriet gør i forbindelse med de mellemfristede fremskrivninger. Her fraviger man standardantagelser i modellerne, idet der lægges konkrete politiske beslutninger til grund for prognosen</w:t>
      </w:r>
      <w:r w:rsidR="00FA44E3" w:rsidRPr="006759E9">
        <w:rPr>
          <w:rFonts w:ascii="Verdana" w:hAnsi="Verdana"/>
        </w:rPr>
        <w:t>. Der er med andre ord tale om en</w:t>
      </w:r>
      <w:r w:rsidR="004C7B0D" w:rsidRPr="006759E9">
        <w:rPr>
          <w:rFonts w:ascii="Verdana" w:hAnsi="Verdana"/>
        </w:rPr>
        <w:t xml:space="preserve"> fremskrivning</w:t>
      </w:r>
      <w:r w:rsidR="00FA44E3" w:rsidRPr="006759E9">
        <w:rPr>
          <w:rFonts w:ascii="Verdana" w:hAnsi="Verdana"/>
        </w:rPr>
        <w:t>, der blander</w:t>
      </w:r>
      <w:r w:rsidR="00F00E9F" w:rsidRPr="006759E9">
        <w:rPr>
          <w:rFonts w:ascii="Verdana" w:hAnsi="Verdana"/>
        </w:rPr>
        <w:t xml:space="preserve"> antagelser af budgetmæssig karakter og antagelser af mere</w:t>
      </w:r>
      <w:r w:rsidR="006D72E6">
        <w:rPr>
          <w:rFonts w:ascii="Verdana" w:hAnsi="Verdana"/>
        </w:rPr>
        <w:t xml:space="preserve"> teknisk og teoretisk</w:t>
      </w:r>
      <w:r w:rsidR="00F00E9F" w:rsidRPr="006759E9">
        <w:rPr>
          <w:rFonts w:ascii="Verdana" w:hAnsi="Verdana"/>
        </w:rPr>
        <w:t xml:space="preserve"> karakter</w:t>
      </w:r>
      <w:r w:rsidR="00C73F0C" w:rsidRPr="006759E9">
        <w:rPr>
          <w:rFonts w:ascii="Verdana" w:hAnsi="Verdana"/>
        </w:rPr>
        <w:t xml:space="preserve">. I Finansministeriet har man besluttet, at det kun er indenfor den mellemfristede </w:t>
      </w:r>
      <w:r w:rsidR="0037733F" w:rsidRPr="006759E9">
        <w:rPr>
          <w:rFonts w:ascii="Verdana" w:hAnsi="Verdana"/>
        </w:rPr>
        <w:t>planlægningsperiode, som aktuelt dækker årene frem mod 2025</w:t>
      </w:r>
      <w:r w:rsidR="00C73F0C" w:rsidRPr="006759E9">
        <w:rPr>
          <w:rFonts w:ascii="Verdana" w:hAnsi="Verdana"/>
        </w:rPr>
        <w:t>, at man tager udgangspunkt i politisk bestemte forventninger til det offentlige forbrug.</w:t>
      </w:r>
      <w:r w:rsidR="007208DC" w:rsidRPr="006759E9">
        <w:rPr>
          <w:rFonts w:ascii="Verdana" w:hAnsi="Verdana"/>
        </w:rPr>
        <w:t xml:space="preserve"> </w:t>
      </w:r>
      <w:r w:rsidR="00EE1BF6" w:rsidRPr="006759E9">
        <w:rPr>
          <w:rFonts w:ascii="Verdana" w:hAnsi="Verdana"/>
        </w:rPr>
        <w:t>Det betyder, at man indenfor rammen af 2025-plan</w:t>
      </w:r>
      <w:r w:rsidR="00C73F0C" w:rsidRPr="006759E9">
        <w:rPr>
          <w:rFonts w:ascii="Verdana" w:hAnsi="Verdana"/>
        </w:rPr>
        <w:t>en</w:t>
      </w:r>
      <w:r w:rsidR="00EE1BF6" w:rsidRPr="006759E9">
        <w:rPr>
          <w:rFonts w:ascii="Verdana" w:hAnsi="Verdana"/>
        </w:rPr>
        <w:t xml:space="preserve"> direkte vil kunne aflæse produktivitetseffekter på den </w:t>
      </w:r>
      <w:proofErr w:type="gramStart"/>
      <w:r w:rsidR="00EE1BF6" w:rsidRPr="006759E9">
        <w:rPr>
          <w:rFonts w:ascii="Verdana" w:hAnsi="Verdana"/>
        </w:rPr>
        <w:t>offentlig</w:t>
      </w:r>
      <w:proofErr w:type="gramEnd"/>
      <w:r w:rsidR="00EE1BF6" w:rsidRPr="006759E9">
        <w:rPr>
          <w:rFonts w:ascii="Verdana" w:hAnsi="Verdana"/>
        </w:rPr>
        <w:t xml:space="preserve"> saldo.</w:t>
      </w:r>
      <w:r w:rsidR="005214B2" w:rsidRPr="006759E9">
        <w:rPr>
          <w:rFonts w:ascii="Verdana" w:hAnsi="Verdana"/>
        </w:rPr>
        <w:t xml:space="preserve"> Omvendt vil man i </w:t>
      </w:r>
      <w:r w:rsidR="00C91F5D" w:rsidRPr="006759E9">
        <w:rPr>
          <w:rFonts w:ascii="Verdana" w:hAnsi="Verdana"/>
        </w:rPr>
        <w:t>F</w:t>
      </w:r>
      <w:r w:rsidR="005214B2" w:rsidRPr="006759E9">
        <w:rPr>
          <w:rFonts w:ascii="Verdana" w:hAnsi="Verdana"/>
        </w:rPr>
        <w:t xml:space="preserve">inansministeriets langsigtede fremskrivninger ikke kunne aflæse nogen effekt </w:t>
      </w:r>
      <w:r w:rsidR="006D72E6">
        <w:rPr>
          <w:rFonts w:ascii="Verdana" w:hAnsi="Verdana"/>
        </w:rPr>
        <w:t xml:space="preserve">af produktivitetsstigninger </w:t>
      </w:r>
      <w:r w:rsidR="005214B2" w:rsidRPr="006759E9">
        <w:rPr>
          <w:rFonts w:ascii="Verdana" w:hAnsi="Verdana"/>
        </w:rPr>
        <w:t>på den offentlige saldo i de år, der ligger efter den mellemfristede fremskrivningsperiode.</w:t>
      </w:r>
      <w:r w:rsidR="00EE1BF6" w:rsidRPr="006759E9">
        <w:rPr>
          <w:rFonts w:ascii="Verdana" w:hAnsi="Verdana"/>
        </w:rPr>
        <w:t xml:space="preserve"> </w:t>
      </w:r>
    </w:p>
    <w:p w14:paraId="691BF782" w14:textId="77777777" w:rsidR="00F00E9F" w:rsidRPr="006759E9" w:rsidRDefault="00F00E9F" w:rsidP="0037733F">
      <w:pPr>
        <w:pStyle w:val="NoSpacing"/>
        <w:rPr>
          <w:rFonts w:ascii="Verdana" w:hAnsi="Verdana"/>
        </w:rPr>
      </w:pPr>
    </w:p>
    <w:p w14:paraId="70F31FF3" w14:textId="46A2F51A" w:rsidR="00F00E9F" w:rsidRPr="006759E9" w:rsidRDefault="00F00E9F" w:rsidP="0037733F">
      <w:pPr>
        <w:pStyle w:val="NoSpacing"/>
        <w:rPr>
          <w:rFonts w:ascii="Verdana" w:hAnsi="Verdana"/>
        </w:rPr>
      </w:pPr>
      <w:r w:rsidRPr="006759E9">
        <w:rPr>
          <w:rFonts w:ascii="Verdana" w:hAnsi="Verdana"/>
        </w:rPr>
        <w:t>Årsagen til, at ø</w:t>
      </w:r>
      <w:r w:rsidR="00E06264">
        <w:rPr>
          <w:rFonts w:ascii="Verdana" w:hAnsi="Verdana"/>
        </w:rPr>
        <w:t>get produktivitet ikke har nogen</w:t>
      </w:r>
      <w:r w:rsidRPr="006759E9">
        <w:rPr>
          <w:rFonts w:ascii="Verdana" w:hAnsi="Verdana"/>
        </w:rPr>
        <w:t xml:space="preserve"> effekt på den offentlige saldo i 2026, men at øget produktivitet har betydning for den offentlige saldo i 2025 er altså alene, at det er den skelnen man har </w:t>
      </w:r>
      <w:r w:rsidRPr="006759E9">
        <w:rPr>
          <w:rFonts w:ascii="Verdana" w:hAnsi="Verdana"/>
          <w:i/>
        </w:rPr>
        <w:t>besluttet i Finansministeriet</w:t>
      </w:r>
      <w:r w:rsidR="00182437">
        <w:rPr>
          <w:rFonts w:ascii="Verdana" w:hAnsi="Verdana"/>
        </w:rPr>
        <w:t>. Det er, som sådan, ikke noget økonomfagligt argument for, at det netop skal være 2025, som er skelnen mellem det mellemfristede</w:t>
      </w:r>
      <w:r w:rsidR="00D561E7">
        <w:rPr>
          <w:rFonts w:ascii="Verdana" w:hAnsi="Verdana"/>
        </w:rPr>
        <w:t xml:space="preserve"> og det langfristede. Det er derfor oplagt at undersøge, hvilken betydning det har for analyseresultaterne, at man opretholder en klar sondring imellem disse to fremskrivningsmetoder. </w:t>
      </w:r>
      <w:r w:rsidR="00D01EC0">
        <w:rPr>
          <w:rFonts w:ascii="Verdana" w:hAnsi="Verdana"/>
        </w:rPr>
        <w:t xml:space="preserve">Det betyder imidlertid ikke, at dette notat skal tolkes som </w:t>
      </w:r>
      <w:r w:rsidR="00594303">
        <w:rPr>
          <w:rFonts w:ascii="Verdana" w:hAnsi="Verdana"/>
        </w:rPr>
        <w:t>et</w:t>
      </w:r>
      <w:r w:rsidR="00D01EC0">
        <w:rPr>
          <w:rFonts w:ascii="Verdana" w:hAnsi="Verdana"/>
        </w:rPr>
        <w:t xml:space="preserve"> argument imod at lave mekaniske, langfristede fremskrivninger, hvor de offentlige udgifter løftes parallelt med velstandsniveauet. Men det er et argument for, at det også kan give mening at lave analyser, som lægger mere realistiske argumenter nedover fremskrivningerne. </w:t>
      </w:r>
      <w:r w:rsidR="00182437">
        <w:rPr>
          <w:rFonts w:ascii="Verdana" w:hAnsi="Verdana"/>
        </w:rPr>
        <w:t xml:space="preserve"> </w:t>
      </w:r>
    </w:p>
    <w:p w14:paraId="467B099F" w14:textId="28A1E3A7" w:rsidR="00366C1F" w:rsidRPr="006759E9" w:rsidRDefault="00366C1F" w:rsidP="00366C1F">
      <w:pPr>
        <w:pStyle w:val="NoSpacing"/>
        <w:rPr>
          <w:rFonts w:ascii="Verdana" w:hAnsi="Verdana"/>
        </w:rPr>
      </w:pPr>
      <w:r w:rsidRPr="006759E9">
        <w:rPr>
          <w:rFonts w:ascii="Verdana" w:hAnsi="Verdana"/>
        </w:rPr>
        <w:t xml:space="preserve">I Figur 2 herunder, er det forsøgt illustreret grafisk, hvordan de mekaniske modelfremskrivninger kan virke en anelse arbitrære, når de sammenholdes med den politiske virkelighed anno 2018. </w:t>
      </w:r>
      <w:r w:rsidR="00686297" w:rsidRPr="006759E9">
        <w:rPr>
          <w:rFonts w:ascii="Verdana" w:hAnsi="Verdana"/>
        </w:rPr>
        <w:t xml:space="preserve">For at få en fornemmelse af, med hvilken </w:t>
      </w:r>
      <w:r w:rsidR="00686297" w:rsidRPr="006759E9">
        <w:rPr>
          <w:rFonts w:ascii="Verdana" w:hAnsi="Verdana"/>
        </w:rPr>
        <w:lastRenderedPageBreak/>
        <w:t>takt det offentlige forbrug skal vokse</w:t>
      </w:r>
      <w:r w:rsidR="000C76D3" w:rsidRPr="006759E9">
        <w:rPr>
          <w:rFonts w:ascii="Verdana" w:hAnsi="Verdana"/>
        </w:rPr>
        <w:t xml:space="preserve"> i fremtiden</w:t>
      </w:r>
      <w:r w:rsidR="00686297" w:rsidRPr="006759E9">
        <w:rPr>
          <w:rFonts w:ascii="Verdana" w:hAnsi="Verdana"/>
        </w:rPr>
        <w:t xml:space="preserve">, hvis </w:t>
      </w:r>
      <w:r w:rsidR="000C76D3" w:rsidRPr="006759E9">
        <w:rPr>
          <w:rFonts w:ascii="Verdana" w:hAnsi="Verdana"/>
        </w:rPr>
        <w:t xml:space="preserve">de reale </w:t>
      </w:r>
      <w:r w:rsidR="00686297" w:rsidRPr="006759E9">
        <w:rPr>
          <w:rFonts w:ascii="Verdana" w:hAnsi="Verdana"/>
        </w:rPr>
        <w:t xml:space="preserve">udgifterne pr. bruger skal holdes </w:t>
      </w:r>
      <w:r w:rsidR="000C76D3" w:rsidRPr="006759E9">
        <w:rPr>
          <w:rFonts w:ascii="Verdana" w:hAnsi="Verdana"/>
        </w:rPr>
        <w:t>konstante</w:t>
      </w:r>
      <w:r w:rsidR="004C7B0D" w:rsidRPr="006759E9">
        <w:rPr>
          <w:rFonts w:ascii="Verdana" w:hAnsi="Verdana"/>
        </w:rPr>
        <w:t>,</w:t>
      </w:r>
      <w:r w:rsidR="000C76D3" w:rsidRPr="006759E9">
        <w:rPr>
          <w:rFonts w:ascii="Verdana" w:hAnsi="Verdana"/>
        </w:rPr>
        <w:t xml:space="preserve"> sammenholdes </w:t>
      </w:r>
      <w:r w:rsidR="007916D6">
        <w:rPr>
          <w:rFonts w:ascii="Verdana" w:hAnsi="Verdana"/>
        </w:rPr>
        <w:t xml:space="preserve">Finansministeriets prognose </w:t>
      </w:r>
      <w:r w:rsidR="000C76D3" w:rsidRPr="006759E9">
        <w:rPr>
          <w:rFonts w:ascii="Verdana" w:hAnsi="Verdana"/>
        </w:rPr>
        <w:t>for væksten i det offentlige forbrug med de</w:t>
      </w:r>
      <w:r w:rsidR="004C7B0D" w:rsidRPr="006759E9">
        <w:rPr>
          <w:rFonts w:ascii="Verdana" w:hAnsi="Verdana"/>
        </w:rPr>
        <w:t>t</w:t>
      </w:r>
      <w:r w:rsidR="000C76D3" w:rsidRPr="006759E9">
        <w:rPr>
          <w:rFonts w:ascii="Verdana" w:hAnsi="Verdana"/>
        </w:rPr>
        <w:t xml:space="preserve"> demografiske træk. Det demografiske træk illustrerer netop udgiftstrækket på det offentlige forbrug, som befolkningsudviklingen isoleret set medfører, såfremt den reale udgift pr. bruger fastholdes uændret, og når der korrigeres for at befolkningen generelt bliver sundere og derfor lever længere (delvis sund aldring). </w:t>
      </w:r>
      <w:r w:rsidRPr="006759E9">
        <w:rPr>
          <w:rFonts w:ascii="Verdana" w:hAnsi="Verdana"/>
        </w:rPr>
        <w:t xml:space="preserve">Som det fremgår </w:t>
      </w:r>
      <w:r w:rsidR="000C76D3" w:rsidRPr="006759E9">
        <w:rPr>
          <w:rFonts w:ascii="Verdana" w:hAnsi="Verdana"/>
        </w:rPr>
        <w:t xml:space="preserve">af Figur 2 </w:t>
      </w:r>
      <w:r w:rsidRPr="006759E9">
        <w:rPr>
          <w:rFonts w:ascii="Verdana" w:hAnsi="Verdana"/>
        </w:rPr>
        <w:t xml:space="preserve">ligger væksten i det demografiske træk årligt på niveau med, eller over væksten i det offentlige forbrug frem mod 2025. Men ved udløbet af den mellemfristede fremskrivningsperiode springer væksten i det offentlige forbrug pludselig til </w:t>
      </w:r>
      <w:r w:rsidR="00726538" w:rsidRPr="006759E9">
        <w:rPr>
          <w:rFonts w:ascii="Verdana" w:hAnsi="Verdana"/>
        </w:rPr>
        <w:t>at li</w:t>
      </w:r>
      <w:r w:rsidRPr="006759E9">
        <w:rPr>
          <w:rFonts w:ascii="Verdana" w:hAnsi="Verdana"/>
        </w:rPr>
        <w:t xml:space="preserve">gge omtrent ½ procentpoint </w:t>
      </w:r>
      <w:r w:rsidR="00726538" w:rsidRPr="006759E9">
        <w:rPr>
          <w:rFonts w:ascii="Verdana" w:hAnsi="Verdana"/>
        </w:rPr>
        <w:t xml:space="preserve">over </w:t>
      </w:r>
      <w:r w:rsidRPr="006759E9">
        <w:rPr>
          <w:rFonts w:ascii="Verdana" w:hAnsi="Verdana"/>
        </w:rPr>
        <w:t xml:space="preserve">væksten i det demografiske træk. Årsagen til dette er netop en antagelse om, at væksten i det offentlige forbrug skal følge den generelle velstandsudvikling i økonomien. </w:t>
      </w:r>
    </w:p>
    <w:p w14:paraId="792CF512" w14:textId="77777777" w:rsidR="00366C1F" w:rsidRPr="006759E9" w:rsidRDefault="00366C1F" w:rsidP="00366C1F">
      <w:pPr>
        <w:pStyle w:val="NoSpacing"/>
        <w:rPr>
          <w:rFonts w:ascii="Verdana" w:hAnsi="Verdana"/>
        </w:rPr>
      </w:pPr>
    </w:p>
    <w:p w14:paraId="68DA9573" w14:textId="086DCD20" w:rsidR="000C76D3" w:rsidRPr="006759E9" w:rsidRDefault="000C76D3" w:rsidP="00366C1F">
      <w:pPr>
        <w:pStyle w:val="NoSpacing"/>
        <w:rPr>
          <w:rFonts w:ascii="Verdana" w:hAnsi="Verdana"/>
          <w:i/>
        </w:rPr>
      </w:pPr>
      <w:r w:rsidRPr="006759E9">
        <w:rPr>
          <w:rFonts w:ascii="Verdana" w:hAnsi="Verdana"/>
          <w:i/>
        </w:rPr>
        <w:t>Figur 2: Finansministeriets prognose for udviklingen i det offentlige forbrug samt udviklingen i det demografiske træk</w:t>
      </w:r>
    </w:p>
    <w:p w14:paraId="4CC2AB59" w14:textId="77777777" w:rsidR="00366C1F" w:rsidRPr="006759E9" w:rsidRDefault="00366C1F" w:rsidP="00366C1F">
      <w:pPr>
        <w:pStyle w:val="NoSpacing"/>
        <w:rPr>
          <w:rFonts w:ascii="Verdana" w:hAnsi="Verdana"/>
        </w:rPr>
      </w:pPr>
      <w:r w:rsidRPr="006759E9">
        <w:rPr>
          <w:noProof/>
          <w:lang w:val="en-US"/>
        </w:rPr>
        <w:drawing>
          <wp:inline distT="0" distB="0" distL="0" distR="0" wp14:anchorId="7CE4817D" wp14:editId="77E8A0CF">
            <wp:extent cx="5683885" cy="2695492"/>
            <wp:effectExtent l="0" t="0" r="12065" b="1016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62F6AD" w14:textId="6BBF40A1" w:rsidR="000C76D3" w:rsidRPr="006759E9" w:rsidRDefault="000C76D3" w:rsidP="00366C1F">
      <w:pPr>
        <w:pStyle w:val="NoSpacing"/>
        <w:rPr>
          <w:rFonts w:ascii="Verdana" w:hAnsi="Verdana"/>
          <w:i/>
        </w:rPr>
      </w:pPr>
      <w:r w:rsidRPr="006759E9">
        <w:rPr>
          <w:rFonts w:ascii="Verdana" w:hAnsi="Verdana"/>
          <w:i/>
        </w:rPr>
        <w:t>Kilde: Finansministeriets grundforløb version 2, august 2017</w:t>
      </w:r>
    </w:p>
    <w:p w14:paraId="63346041" w14:textId="77777777" w:rsidR="00366C1F" w:rsidRPr="006759E9" w:rsidRDefault="00366C1F" w:rsidP="00366C1F">
      <w:pPr>
        <w:pStyle w:val="NoSpacing"/>
        <w:rPr>
          <w:rFonts w:ascii="Verdana" w:hAnsi="Verdana"/>
        </w:rPr>
      </w:pPr>
    </w:p>
    <w:p w14:paraId="22AFB05C" w14:textId="0618CF22" w:rsidR="00A31B72" w:rsidRPr="00C73F0C" w:rsidRDefault="00DC79EB" w:rsidP="0037733F">
      <w:pPr>
        <w:pStyle w:val="NoSpacing"/>
        <w:rPr>
          <w:rFonts w:ascii="Verdana" w:hAnsi="Verdana"/>
        </w:rPr>
      </w:pPr>
      <w:r w:rsidRPr="006759E9">
        <w:rPr>
          <w:rFonts w:ascii="Verdana" w:hAnsi="Verdana"/>
        </w:rPr>
        <w:t xml:space="preserve">Dette notat baserer sig på en antagelse om, at effekten af øget produktivitet til de offentlige finanser også kan foretages på baggrund af en anden </w:t>
      </w:r>
      <w:r w:rsidR="00390F45" w:rsidRPr="006759E9">
        <w:rPr>
          <w:rFonts w:ascii="Verdana" w:hAnsi="Verdana"/>
        </w:rPr>
        <w:t>tilgang, end den der anvendes i Finansministeriet</w:t>
      </w:r>
      <w:r w:rsidRPr="006759E9">
        <w:rPr>
          <w:rFonts w:ascii="Verdana" w:hAnsi="Verdana"/>
        </w:rPr>
        <w:t xml:space="preserve"> i d</w:t>
      </w:r>
      <w:r w:rsidR="00806975" w:rsidRPr="006759E9">
        <w:rPr>
          <w:rFonts w:ascii="Verdana" w:hAnsi="Verdana"/>
        </w:rPr>
        <w:t>e</w:t>
      </w:r>
      <w:r w:rsidRPr="006759E9">
        <w:rPr>
          <w:rFonts w:ascii="Verdana" w:hAnsi="Verdana"/>
        </w:rPr>
        <w:t xml:space="preserve"> lange fremskrivninger</w:t>
      </w:r>
      <w:r w:rsidR="00390F45" w:rsidRPr="006759E9">
        <w:rPr>
          <w:rFonts w:ascii="Verdana" w:hAnsi="Verdana"/>
        </w:rPr>
        <w:t xml:space="preserve">. </w:t>
      </w:r>
      <w:r w:rsidRPr="006759E9">
        <w:rPr>
          <w:rFonts w:ascii="Verdana" w:hAnsi="Verdana"/>
        </w:rPr>
        <w:t>A</w:t>
      </w:r>
      <w:r w:rsidR="009222A2" w:rsidRPr="006759E9">
        <w:rPr>
          <w:rFonts w:ascii="Verdana" w:hAnsi="Verdana"/>
        </w:rPr>
        <w:t>rgument</w:t>
      </w:r>
      <w:r w:rsidRPr="006759E9">
        <w:rPr>
          <w:rFonts w:ascii="Verdana" w:hAnsi="Verdana"/>
        </w:rPr>
        <w:t>et er</w:t>
      </w:r>
      <w:r w:rsidR="009222A2" w:rsidRPr="006759E9">
        <w:rPr>
          <w:rFonts w:ascii="Verdana" w:hAnsi="Verdana"/>
        </w:rPr>
        <w:t>, at vækst i produktiviteten udvider det politiske manøvrerum, som der i fremtiden vil være</w:t>
      </w:r>
      <w:r w:rsidRPr="006759E9">
        <w:rPr>
          <w:rFonts w:ascii="Verdana" w:hAnsi="Verdana"/>
        </w:rPr>
        <w:t xml:space="preserve"> til at disponere over den offentlige sektor</w:t>
      </w:r>
      <w:r w:rsidR="009222A2" w:rsidRPr="006759E9">
        <w:rPr>
          <w:rFonts w:ascii="Verdana" w:hAnsi="Verdana"/>
        </w:rPr>
        <w:t>.</w:t>
      </w:r>
      <w:r w:rsidR="0011727A" w:rsidRPr="006759E9">
        <w:rPr>
          <w:rFonts w:ascii="Verdana" w:hAnsi="Verdana"/>
        </w:rPr>
        <w:t xml:space="preserve"> Med det menes, at den politiske valgfrihed i en velstillet økonomi, alt andet lige vil være højere end valgfriheden i en – relativt – fattigere økonomi. Eller sagt på en anden måde; løftes den fremtidige velstand gennem øgede investeringer i uddannelse, giver det</w:t>
      </w:r>
      <w:r w:rsidR="00095B20" w:rsidRPr="006759E9">
        <w:rPr>
          <w:rFonts w:ascii="Verdana" w:hAnsi="Verdana"/>
        </w:rPr>
        <w:t xml:space="preserve">, politisk set, flere valgmuligheder hvad angår indretningen af den offentlige sektor – hvad skal prioriteres, hvordan og med hvor mange midler? Et typisk modargument </w:t>
      </w:r>
      <w:r w:rsidR="00BB461E" w:rsidRPr="006759E9">
        <w:rPr>
          <w:rFonts w:ascii="Verdana" w:hAnsi="Verdana"/>
        </w:rPr>
        <w:t>mod denne tilgang vil lyde, at det i så fald ikke er produktivitetsstigningen, som skaber valgfrih</w:t>
      </w:r>
      <w:r w:rsidR="002830B0" w:rsidRPr="006759E9">
        <w:rPr>
          <w:rFonts w:ascii="Verdana" w:hAnsi="Verdana"/>
        </w:rPr>
        <w:t xml:space="preserve">eden, men det forhold, at man </w:t>
      </w:r>
      <w:r w:rsidR="00BB461E" w:rsidRPr="006759E9">
        <w:rPr>
          <w:rFonts w:ascii="Verdana" w:hAnsi="Verdana"/>
        </w:rPr>
        <w:t xml:space="preserve">ikke </w:t>
      </w:r>
      <w:r w:rsidR="002830B0" w:rsidRPr="006759E9">
        <w:rPr>
          <w:rFonts w:ascii="Verdana" w:hAnsi="Verdana"/>
        </w:rPr>
        <w:lastRenderedPageBreak/>
        <w:t xml:space="preserve">mekanisk </w:t>
      </w:r>
      <w:r w:rsidR="00BB461E" w:rsidRPr="006759E9">
        <w:rPr>
          <w:rFonts w:ascii="Verdana" w:hAnsi="Verdana"/>
        </w:rPr>
        <w:t>lader de offentlige udgifter følge med de offentlige indtægter.</w:t>
      </w:r>
      <w:r w:rsidR="002830B0" w:rsidRPr="006759E9">
        <w:rPr>
          <w:rFonts w:ascii="Verdana" w:hAnsi="Verdana"/>
        </w:rPr>
        <w:t xml:space="preserve"> </w:t>
      </w:r>
      <w:r w:rsidR="00E55A1C" w:rsidRPr="006759E9">
        <w:rPr>
          <w:rFonts w:ascii="Verdana" w:hAnsi="Verdana"/>
        </w:rPr>
        <w:t>Dermed vil man</w:t>
      </w:r>
      <w:r w:rsidR="002830B0" w:rsidRPr="006759E9">
        <w:rPr>
          <w:rFonts w:ascii="Verdana" w:hAnsi="Verdana"/>
        </w:rPr>
        <w:t xml:space="preserve"> også i en situation uden produktivitetsvækst kunne</w:t>
      </w:r>
      <w:r w:rsidR="00BB461E" w:rsidRPr="006759E9">
        <w:rPr>
          <w:rFonts w:ascii="Verdana" w:hAnsi="Verdana"/>
        </w:rPr>
        <w:t xml:space="preserve"> </w:t>
      </w:r>
      <w:r w:rsidR="002830B0" w:rsidRPr="006759E9">
        <w:rPr>
          <w:rFonts w:ascii="Verdana" w:hAnsi="Verdana"/>
        </w:rPr>
        <w:t xml:space="preserve">mindske de offentlige udgifter. </w:t>
      </w:r>
      <w:r w:rsidR="00E55A1C" w:rsidRPr="006759E9">
        <w:rPr>
          <w:rFonts w:ascii="Verdana" w:hAnsi="Verdana"/>
        </w:rPr>
        <w:t>Principielt er</w:t>
      </w:r>
      <w:r w:rsidR="0067068A" w:rsidRPr="006759E9">
        <w:rPr>
          <w:rFonts w:ascii="Verdana" w:hAnsi="Verdana"/>
        </w:rPr>
        <w:t xml:space="preserve"> dette korrekt</w:t>
      </w:r>
      <w:r w:rsidR="00E55A1C" w:rsidRPr="006759E9">
        <w:rPr>
          <w:rFonts w:ascii="Verdana" w:hAnsi="Verdana"/>
        </w:rPr>
        <w:t xml:space="preserve">; </w:t>
      </w:r>
      <w:r w:rsidR="00C7323D" w:rsidRPr="006759E9">
        <w:rPr>
          <w:rFonts w:ascii="Verdana" w:hAnsi="Verdana"/>
        </w:rPr>
        <w:t xml:space="preserve">det </w:t>
      </w:r>
      <w:r w:rsidR="00E55A1C" w:rsidRPr="006759E9">
        <w:rPr>
          <w:rFonts w:ascii="Verdana" w:hAnsi="Verdana"/>
        </w:rPr>
        <w:t xml:space="preserve">er </w:t>
      </w:r>
      <w:r w:rsidR="007916D6">
        <w:rPr>
          <w:rFonts w:ascii="Verdana" w:hAnsi="Verdana"/>
        </w:rPr>
        <w:t xml:space="preserve">naturligvis til enhver tid </w:t>
      </w:r>
      <w:r w:rsidR="00C7323D" w:rsidRPr="006759E9">
        <w:rPr>
          <w:rFonts w:ascii="Verdana" w:hAnsi="Verdana"/>
        </w:rPr>
        <w:t>muligt at føre en politik, som øger/mindsker de</w:t>
      </w:r>
      <w:r w:rsidR="00E55A1C" w:rsidRPr="006759E9">
        <w:rPr>
          <w:rFonts w:ascii="Verdana" w:hAnsi="Verdana"/>
        </w:rPr>
        <w:t>t offentlige forbrug. Men tilgangen tager grundlæggende ikke bestik af det faktum, at den offentlige sektor</w:t>
      </w:r>
      <w:r w:rsidR="00031EFC" w:rsidRPr="006759E9">
        <w:rPr>
          <w:rFonts w:ascii="Verdana" w:hAnsi="Verdana"/>
        </w:rPr>
        <w:t xml:space="preserve"> styres på baggrund af politiske prioriteringer, og ikke mekaniske regler. Således er der for tiden stort set ingen partier, der arbejder for en vækst i det offentlige forbrug, som følger den generelle velstandsudvikling. Det lader ganske enkelt ikke til at være en relevant ’strømpil’ for at fastlægge udviklingen i de offentlige udgifter. Det er derimod udviklingen i det demografiske træk, som, i hvert fald for store dele af Folketinget, lader til at være den baseline-vækst, som der st</w:t>
      </w:r>
      <w:r w:rsidR="005C60AC" w:rsidRPr="006759E9">
        <w:rPr>
          <w:rFonts w:ascii="Verdana" w:hAnsi="Verdana"/>
        </w:rPr>
        <w:t xml:space="preserve">yres efter. Beregningen af kvantitetseffekten af uddannelse bygger dermed på </w:t>
      </w:r>
      <w:r w:rsidR="009E0ABF" w:rsidRPr="006759E9">
        <w:rPr>
          <w:rFonts w:ascii="Verdana" w:hAnsi="Verdana"/>
        </w:rPr>
        <w:t>det udgangspunkt, at en velstandseffekt giver øget mulighedsrum, som der kan disponeres politisk over. En del af dette udgiftsrum fordeles i regneeksemplet. Således øges samtlige af de offentlige udgifter, som styres af egentlige</w:t>
      </w:r>
      <w:r w:rsidR="009B4777">
        <w:rPr>
          <w:rFonts w:ascii="Verdana" w:hAnsi="Verdana"/>
        </w:rPr>
        <w:t>, lovbundne regler</w:t>
      </w:r>
      <w:r w:rsidR="009E0ABF" w:rsidRPr="006759E9">
        <w:rPr>
          <w:rFonts w:ascii="Verdana" w:hAnsi="Verdana"/>
        </w:rPr>
        <w:t>. Det vil sige</w:t>
      </w:r>
      <w:r w:rsidR="0062011B" w:rsidRPr="006759E9">
        <w:rPr>
          <w:rFonts w:ascii="Verdana" w:hAnsi="Verdana"/>
        </w:rPr>
        <w:t xml:space="preserve"> at der regnes på et scenarie, hvor satsreguleringen betyder, at de offentlige overførsler følger den generelle lønudvikling ligesom de offentlige lønninger følger de private lønninger via reguleringsordningen. Som det vil blive uddybet nærmere nedenfor, antages det dog, </w:t>
      </w:r>
      <w:r w:rsidR="00BD34A9" w:rsidRPr="006759E9">
        <w:rPr>
          <w:rFonts w:ascii="Verdana" w:hAnsi="Verdana"/>
        </w:rPr>
        <w:t>at udviklingen i det offentlige varekøb og udviklingen i de offentlige investeringer fastholdes på et konstant niveau</w:t>
      </w:r>
      <w:r w:rsidR="009B4777">
        <w:rPr>
          <w:rFonts w:ascii="Verdana" w:hAnsi="Verdana"/>
        </w:rPr>
        <w:t>, da disse styres fuld ud via politiske beslutninger</w:t>
      </w:r>
      <w:r w:rsidR="00BD34A9" w:rsidRPr="006759E9">
        <w:rPr>
          <w:rFonts w:ascii="Verdana" w:hAnsi="Verdana"/>
        </w:rPr>
        <w:t>. Andre antagelser havde givet andre resultater, hvilket netop er pointen med indeværende notat: At sætte fokus på og undersøge, hvor stor betydning antagelser har for de resultater</w:t>
      </w:r>
      <w:r w:rsidR="0046376D">
        <w:rPr>
          <w:rFonts w:ascii="Verdana" w:hAnsi="Verdana"/>
        </w:rPr>
        <w:t>,</w:t>
      </w:r>
      <w:r w:rsidR="00BD34A9" w:rsidRPr="006759E9">
        <w:rPr>
          <w:rFonts w:ascii="Verdana" w:hAnsi="Verdana"/>
        </w:rPr>
        <w:t xml:space="preserve"> der kommer ud af økonomiske analyser.</w:t>
      </w:r>
    </w:p>
    <w:p w14:paraId="46E63C79" w14:textId="77777777" w:rsidR="00554553" w:rsidRPr="00554553" w:rsidRDefault="00554553" w:rsidP="00554553">
      <w:pPr>
        <w:pStyle w:val="NoSpacing"/>
        <w:rPr>
          <w:rFonts w:ascii="Verdana" w:hAnsi="Verdana"/>
        </w:rPr>
      </w:pPr>
    </w:p>
    <w:p w14:paraId="09AAB97D" w14:textId="7F4020D2" w:rsidR="00C73A61" w:rsidRDefault="00C73A61" w:rsidP="00554553">
      <w:pPr>
        <w:pStyle w:val="NoSpacing"/>
        <w:rPr>
          <w:rFonts w:ascii="Verdana" w:hAnsi="Verdana"/>
        </w:rPr>
      </w:pPr>
      <w:r w:rsidRPr="00554553">
        <w:rPr>
          <w:rFonts w:ascii="Verdana" w:hAnsi="Verdana"/>
        </w:rPr>
        <w:t>Den konkrete udregning foretages ved først at undersøge</w:t>
      </w:r>
      <w:r w:rsidR="00154053" w:rsidRPr="00554553">
        <w:rPr>
          <w:rFonts w:ascii="Verdana" w:hAnsi="Verdana"/>
        </w:rPr>
        <w:t>,</w:t>
      </w:r>
      <w:r w:rsidRPr="00554553">
        <w:rPr>
          <w:rFonts w:ascii="Verdana" w:hAnsi="Verdana"/>
        </w:rPr>
        <w:t xml:space="preserve"> hvor meget </w:t>
      </w:r>
      <w:r w:rsidR="00211EEB">
        <w:rPr>
          <w:rFonts w:ascii="Verdana" w:hAnsi="Verdana"/>
        </w:rPr>
        <w:t xml:space="preserve">udgifterne til uddannelse (dvs. både taxameterudgifter, udgifter til SU samt midlertidigt tab af skatteindtægter under uddannelse) vil skulle øges </w:t>
      </w:r>
      <w:proofErr w:type="gramStart"/>
      <w:r w:rsidR="00211EEB">
        <w:rPr>
          <w:rFonts w:ascii="Verdana" w:hAnsi="Verdana"/>
        </w:rPr>
        <w:t>for  årigt</w:t>
      </w:r>
      <w:proofErr w:type="gramEnd"/>
      <w:r w:rsidR="00211EEB">
        <w:rPr>
          <w:rFonts w:ascii="Verdana" w:hAnsi="Verdana"/>
        </w:rPr>
        <w:t xml:space="preserve"> at uddanne yderligere </w:t>
      </w:r>
      <w:r w:rsidR="000A1A72">
        <w:rPr>
          <w:rFonts w:ascii="Verdana" w:hAnsi="Verdana"/>
        </w:rPr>
        <w:t>100</w:t>
      </w:r>
      <w:r w:rsidR="00211EEB">
        <w:rPr>
          <w:rFonts w:ascii="Verdana" w:hAnsi="Verdana"/>
        </w:rPr>
        <w:t xml:space="preserve"> med en kandidatuddannelse. </w:t>
      </w:r>
      <w:r w:rsidRPr="00554553">
        <w:rPr>
          <w:rFonts w:ascii="Verdana" w:hAnsi="Verdana"/>
        </w:rPr>
        <w:t xml:space="preserve">Dette gøres ved hjælp af tal fra </w:t>
      </w:r>
      <w:r w:rsidR="00C248EE">
        <w:rPr>
          <w:rFonts w:ascii="Verdana" w:hAnsi="Verdana"/>
        </w:rPr>
        <w:t>Finansloven</w:t>
      </w:r>
      <w:r w:rsidRPr="00554553">
        <w:rPr>
          <w:rFonts w:ascii="Verdana" w:hAnsi="Verdana"/>
        </w:rPr>
        <w:t xml:space="preserve"> </w:t>
      </w:r>
      <w:r w:rsidR="00B87EB2">
        <w:rPr>
          <w:rFonts w:ascii="Verdana" w:hAnsi="Verdana"/>
        </w:rPr>
        <w:t xml:space="preserve">og </w:t>
      </w:r>
      <w:r w:rsidR="00C248EE">
        <w:rPr>
          <w:rFonts w:ascii="Verdana" w:hAnsi="Verdana"/>
        </w:rPr>
        <w:t>Danmarks Statistik</w:t>
      </w:r>
      <w:r w:rsidR="0027446C">
        <w:rPr>
          <w:rFonts w:ascii="Verdana" w:hAnsi="Verdana"/>
        </w:rPr>
        <w:t>. Hernæst beregnes</w:t>
      </w:r>
      <w:r w:rsidRPr="00554553">
        <w:rPr>
          <w:rFonts w:ascii="Verdana" w:hAnsi="Verdana"/>
        </w:rPr>
        <w:t xml:space="preserve"> en forventet produktivitetseffekt</w:t>
      </w:r>
      <w:r w:rsidR="0027446C">
        <w:rPr>
          <w:rFonts w:ascii="Verdana" w:hAnsi="Verdana"/>
        </w:rPr>
        <w:t xml:space="preserve">. Her anvendes </w:t>
      </w:r>
      <w:r w:rsidR="00FB78BA">
        <w:rPr>
          <w:rFonts w:ascii="Verdana" w:hAnsi="Verdana"/>
        </w:rPr>
        <w:t xml:space="preserve">resultaterne </w:t>
      </w:r>
      <w:r w:rsidR="0027446C">
        <w:rPr>
          <w:rFonts w:ascii="Verdana" w:hAnsi="Verdana"/>
        </w:rPr>
        <w:t>fra</w:t>
      </w:r>
      <w:r w:rsidR="0098553E">
        <w:rPr>
          <w:rFonts w:ascii="Verdana" w:hAnsi="Verdana"/>
        </w:rPr>
        <w:t xml:space="preserve"> Fosse mfl.</w:t>
      </w:r>
      <w:r w:rsidR="003B06D8">
        <w:rPr>
          <w:rFonts w:ascii="Verdana" w:hAnsi="Verdana"/>
        </w:rPr>
        <w:t xml:space="preserve"> </w:t>
      </w:r>
      <w:sdt>
        <w:sdtPr>
          <w:rPr>
            <w:rFonts w:ascii="Verdana" w:hAnsi="Verdana"/>
          </w:rPr>
          <w:id w:val="-137493610"/>
          <w:citation/>
        </w:sdtPr>
        <w:sdtEndPr/>
        <w:sdtContent>
          <w:r w:rsidR="003B06D8">
            <w:rPr>
              <w:rFonts w:ascii="Verdana" w:hAnsi="Verdana"/>
            </w:rPr>
            <w:fldChar w:fldCharType="begin"/>
          </w:r>
          <w:r w:rsidR="003B06D8">
            <w:rPr>
              <w:rFonts w:ascii="Verdana" w:hAnsi="Verdana"/>
            </w:rPr>
            <w:instrText xml:space="preserve"> CITATION Fos13 \l 1030 </w:instrText>
          </w:r>
          <w:r w:rsidR="003B06D8">
            <w:rPr>
              <w:rFonts w:ascii="Verdana" w:hAnsi="Verdana"/>
            </w:rPr>
            <w:fldChar w:fldCharType="separate"/>
          </w:r>
          <w:r w:rsidR="006A0FEA" w:rsidRPr="006A0FEA">
            <w:rPr>
              <w:rFonts w:ascii="Verdana" w:hAnsi="Verdana"/>
              <w:noProof/>
            </w:rPr>
            <w:t>(Fosse, et al., 2013)</w:t>
          </w:r>
          <w:r w:rsidR="003B06D8">
            <w:rPr>
              <w:rFonts w:ascii="Verdana" w:hAnsi="Verdana"/>
            </w:rPr>
            <w:fldChar w:fldCharType="end"/>
          </w:r>
        </w:sdtContent>
      </w:sdt>
      <w:r w:rsidR="00211EEB">
        <w:rPr>
          <w:rFonts w:ascii="Verdana" w:hAnsi="Verdana"/>
        </w:rPr>
        <w:t xml:space="preserve">, idet det ønskes at inkludere såvel </w:t>
      </w:r>
      <w:proofErr w:type="spellStart"/>
      <w:r w:rsidR="00211EEB">
        <w:rPr>
          <w:rFonts w:ascii="Verdana" w:hAnsi="Verdana"/>
        </w:rPr>
        <w:t>egeneffekten</w:t>
      </w:r>
      <w:proofErr w:type="spellEnd"/>
      <w:r w:rsidR="00211EEB">
        <w:rPr>
          <w:rFonts w:ascii="Verdana" w:hAnsi="Verdana"/>
        </w:rPr>
        <w:t xml:space="preserve"> og fælleseffekten af uddannelse.</w:t>
      </w:r>
      <w:r w:rsidR="00FB78BA">
        <w:rPr>
          <w:rFonts w:ascii="Verdana" w:hAnsi="Verdana"/>
        </w:rPr>
        <w:t xml:space="preserve"> Slutteligt beregnes virkningen for de offentlige finanser af at gennemføre uddannelsesløftet</w:t>
      </w:r>
      <w:r w:rsidR="003B06D8">
        <w:rPr>
          <w:rFonts w:ascii="Verdana" w:hAnsi="Verdana"/>
        </w:rPr>
        <w:t xml:space="preserve"> – dvs. både de forventede merudgifter til regulering af overførselsindkomster samt offentlige lønninger samt øgede skatteindtægter. Denne beregning trækker i stort omfang på principperne i Finansredegørelsen fra 2014, dog med den væsentlige ændring</w:t>
      </w:r>
      <w:r w:rsidR="00D841CE">
        <w:rPr>
          <w:rFonts w:ascii="Verdana" w:hAnsi="Verdana"/>
        </w:rPr>
        <w:t>,</w:t>
      </w:r>
      <w:r w:rsidR="003B06D8">
        <w:rPr>
          <w:rFonts w:ascii="Verdana" w:hAnsi="Verdana"/>
        </w:rPr>
        <w:t xml:space="preserve"> at der siden er sket ændringer i pri</w:t>
      </w:r>
      <w:r w:rsidR="000A1A72">
        <w:rPr>
          <w:rFonts w:ascii="Verdana" w:hAnsi="Verdana"/>
        </w:rPr>
        <w:t xml:space="preserve">ncipperne for satsreguleringen, jf. Bek nr. 1014 af 25/08/2017, som trådte i kraft </w:t>
      </w:r>
      <w:r w:rsidR="000A1A72" w:rsidRPr="000A1A72">
        <w:rPr>
          <w:rFonts w:ascii="Verdana" w:hAnsi="Verdana"/>
        </w:rPr>
        <w:t>31. august 2017</w:t>
      </w:r>
      <w:r w:rsidR="000A1A72">
        <w:rPr>
          <w:rFonts w:ascii="Verdana" w:hAnsi="Verdana"/>
        </w:rPr>
        <w:t>.</w:t>
      </w:r>
    </w:p>
    <w:p w14:paraId="759AA77B" w14:textId="77777777" w:rsidR="00554553" w:rsidRPr="00554553" w:rsidRDefault="00554553" w:rsidP="00554553">
      <w:pPr>
        <w:pStyle w:val="NoSpacing"/>
        <w:rPr>
          <w:rFonts w:ascii="Verdana" w:hAnsi="Verdana"/>
        </w:rPr>
      </w:pPr>
    </w:p>
    <w:p w14:paraId="491806EE" w14:textId="77777777" w:rsidR="00C73A61" w:rsidRPr="00554553" w:rsidRDefault="00C73A61" w:rsidP="003E608C">
      <w:pPr>
        <w:pStyle w:val="Heading3"/>
      </w:pPr>
      <w:r w:rsidRPr="00554553">
        <w:t xml:space="preserve">Konkret indregning af effekten </w:t>
      </w:r>
    </w:p>
    <w:p w14:paraId="7C98978B" w14:textId="3FEA4024" w:rsidR="00211EEB" w:rsidRPr="00211EEB" w:rsidRDefault="006759E9" w:rsidP="00E80A70">
      <w:pPr>
        <w:pStyle w:val="NoSpacing"/>
        <w:rPr>
          <w:rFonts w:ascii="Verdana" w:eastAsiaTheme="minorEastAsia" w:hAnsi="Verdana"/>
        </w:rPr>
      </w:pPr>
      <w:r>
        <w:rPr>
          <w:rFonts w:ascii="Verdana" w:eastAsiaTheme="minorEastAsia" w:hAnsi="Verdana"/>
        </w:rPr>
        <w:t xml:space="preserve">I det følgende </w:t>
      </w:r>
      <w:r w:rsidR="00211EEB">
        <w:rPr>
          <w:rFonts w:ascii="Verdana" w:eastAsiaTheme="minorEastAsia" w:hAnsi="Verdana"/>
        </w:rPr>
        <w:t xml:space="preserve">analyseres en situation, hvor ændringen er fuld indfaset. Der ses således bort fra tilpasningseffekter mv., og derved kan beregningerne ses som </w:t>
      </w:r>
      <w:r w:rsidR="00211EEB">
        <w:rPr>
          <w:rFonts w:ascii="Verdana" w:eastAsiaTheme="minorEastAsia" w:hAnsi="Verdana"/>
          <w:i/>
        </w:rPr>
        <w:t>ligevægtsberegninger</w:t>
      </w:r>
      <w:r w:rsidR="0098553E" w:rsidRPr="0098553E">
        <w:rPr>
          <w:rFonts w:ascii="Verdana" w:eastAsiaTheme="minorEastAsia" w:hAnsi="Verdana"/>
        </w:rPr>
        <w:t>,</w:t>
      </w:r>
      <w:r w:rsidR="00211EEB">
        <w:rPr>
          <w:rFonts w:ascii="Verdana" w:eastAsiaTheme="minorEastAsia" w:hAnsi="Verdana"/>
          <w:i/>
        </w:rPr>
        <w:t xml:space="preserve"> </w:t>
      </w:r>
      <w:r w:rsidR="00211EEB">
        <w:rPr>
          <w:rFonts w:ascii="Verdana" w:eastAsiaTheme="minorEastAsia" w:hAnsi="Verdana"/>
        </w:rPr>
        <w:t xml:space="preserve">som skal belyse de langsigtede virkninger af de givne </w:t>
      </w:r>
      <w:r w:rsidR="00211EEB">
        <w:rPr>
          <w:rFonts w:ascii="Verdana" w:eastAsiaTheme="minorEastAsia" w:hAnsi="Verdana"/>
        </w:rPr>
        <w:lastRenderedPageBreak/>
        <w:t xml:space="preserve">politikeksperimenter. Således antages det også, at eksperimenterne fastholdes over lang tid, så de fulde effekter af ændringen kan indtræde. </w:t>
      </w:r>
      <w:r w:rsidR="00C029C3">
        <w:rPr>
          <w:rFonts w:ascii="Verdana" w:eastAsiaTheme="minorEastAsia" w:hAnsi="Verdana"/>
        </w:rPr>
        <w:t xml:space="preserve">Dette giver selvsagt nogle udfordringer, idet både uddannelsessammensætningen – og dermed også befolkningens produktivitet – fortsat er i forandring. Det skyldes det simple </w:t>
      </w:r>
      <w:r w:rsidR="008B0DFA">
        <w:rPr>
          <w:rFonts w:ascii="Verdana" w:eastAsiaTheme="minorEastAsia" w:hAnsi="Verdana"/>
        </w:rPr>
        <w:t>forhold, at både størrelsen af de enkelte årgange samt uddannelsesvaner ikke er/har været konstante over tid. Eksempelvis forventes det, at omkring 27 pct. af de unge, der sidste år afsluttede 9. klasse, få</w:t>
      </w:r>
      <w:r w:rsidR="003B06D8">
        <w:rPr>
          <w:rFonts w:ascii="Verdana" w:eastAsiaTheme="minorEastAsia" w:hAnsi="Verdana"/>
        </w:rPr>
        <w:t>r</w:t>
      </w:r>
      <w:r w:rsidR="008B0DFA">
        <w:rPr>
          <w:rFonts w:ascii="Verdana" w:eastAsiaTheme="minorEastAsia" w:hAnsi="Verdana"/>
        </w:rPr>
        <w:t xml:space="preserve"> en lang videregående uddannelse </w:t>
      </w:r>
      <w:sdt>
        <w:sdtPr>
          <w:rPr>
            <w:rFonts w:ascii="Verdana" w:eastAsiaTheme="minorEastAsia" w:hAnsi="Verdana"/>
          </w:rPr>
          <w:id w:val="1023052434"/>
          <w:citation/>
        </w:sdtPr>
        <w:sdtEndPr/>
        <w:sdtContent>
          <w:r w:rsidR="008B0DFA">
            <w:rPr>
              <w:rFonts w:ascii="Verdana" w:eastAsiaTheme="minorEastAsia" w:hAnsi="Verdana"/>
            </w:rPr>
            <w:fldChar w:fldCharType="begin"/>
          </w:r>
          <w:r w:rsidR="008B0DFA">
            <w:rPr>
              <w:rFonts w:ascii="Verdana" w:eastAsiaTheme="minorEastAsia" w:hAnsi="Verdana"/>
            </w:rPr>
            <w:instrText xml:space="preserve"> CITATION Und17 \l 1030 </w:instrText>
          </w:r>
          <w:r w:rsidR="008B0DFA">
            <w:rPr>
              <w:rFonts w:ascii="Verdana" w:eastAsiaTheme="minorEastAsia" w:hAnsi="Verdana"/>
            </w:rPr>
            <w:fldChar w:fldCharType="separate"/>
          </w:r>
          <w:r w:rsidR="006A0FEA" w:rsidRPr="006A0FEA">
            <w:rPr>
              <w:rFonts w:ascii="Verdana" w:eastAsiaTheme="minorEastAsia" w:hAnsi="Verdana"/>
              <w:noProof/>
            </w:rPr>
            <w:t>(Undervisningsministeriet, 2017)</w:t>
          </w:r>
          <w:r w:rsidR="008B0DFA">
            <w:rPr>
              <w:rFonts w:ascii="Verdana" w:eastAsiaTheme="minorEastAsia" w:hAnsi="Verdana"/>
            </w:rPr>
            <w:fldChar w:fldCharType="end"/>
          </w:r>
        </w:sdtContent>
      </w:sdt>
      <w:r w:rsidR="008B0DFA">
        <w:rPr>
          <w:rFonts w:ascii="Verdana" w:eastAsiaTheme="minorEastAsia" w:hAnsi="Verdana"/>
        </w:rPr>
        <w:t xml:space="preserve">, mens det kun er omkring 9 pct. af den samlede danske befolkning i alderen 15-69 år, der i dag har en lang videregående uddannelse </w:t>
      </w:r>
      <w:sdt>
        <w:sdtPr>
          <w:rPr>
            <w:rFonts w:ascii="Verdana" w:eastAsiaTheme="minorEastAsia" w:hAnsi="Verdana"/>
          </w:rPr>
          <w:id w:val="663127861"/>
          <w:citation/>
        </w:sdtPr>
        <w:sdtEndPr/>
        <w:sdtContent>
          <w:r w:rsidR="008B0DFA">
            <w:rPr>
              <w:rFonts w:ascii="Verdana" w:eastAsiaTheme="minorEastAsia" w:hAnsi="Verdana"/>
            </w:rPr>
            <w:fldChar w:fldCharType="begin"/>
          </w:r>
          <w:r w:rsidR="003B06D8">
            <w:rPr>
              <w:rFonts w:ascii="Verdana" w:eastAsiaTheme="minorEastAsia" w:hAnsi="Verdana"/>
            </w:rPr>
            <w:instrText xml:space="preserve">CITATION Dan172 \l 1030 </w:instrText>
          </w:r>
          <w:r w:rsidR="008B0DFA">
            <w:rPr>
              <w:rFonts w:ascii="Verdana" w:eastAsiaTheme="minorEastAsia" w:hAnsi="Verdana"/>
            </w:rPr>
            <w:fldChar w:fldCharType="separate"/>
          </w:r>
          <w:r w:rsidR="006A0FEA" w:rsidRPr="006A0FEA">
            <w:rPr>
              <w:rFonts w:ascii="Verdana" w:eastAsiaTheme="minorEastAsia" w:hAnsi="Verdana"/>
              <w:noProof/>
            </w:rPr>
            <w:t>(Danmarks Statistik I, 2017)</w:t>
          </w:r>
          <w:r w:rsidR="008B0DFA">
            <w:rPr>
              <w:rFonts w:ascii="Verdana" w:eastAsiaTheme="minorEastAsia" w:hAnsi="Verdana"/>
            </w:rPr>
            <w:fldChar w:fldCharType="end"/>
          </w:r>
        </w:sdtContent>
      </w:sdt>
      <w:r w:rsidR="00D733DC">
        <w:rPr>
          <w:rFonts w:ascii="Verdana" w:eastAsiaTheme="minorEastAsia" w:hAnsi="Verdana"/>
        </w:rPr>
        <w:t>. Som nævnt vil det</w:t>
      </w:r>
      <w:r w:rsidR="008E20EA">
        <w:rPr>
          <w:rFonts w:ascii="Verdana" w:eastAsiaTheme="minorEastAsia" w:hAnsi="Verdana"/>
        </w:rPr>
        <w:t xml:space="preserve"> nedenfor blive antaget, at ændringen er fuldt indfaset, hvilket vil sige, at produktivitetseffekterne er slået helt igennem i hele befolkningen.</w:t>
      </w:r>
      <w:r w:rsidR="003B06D8">
        <w:rPr>
          <w:rFonts w:ascii="Verdana" w:eastAsiaTheme="minorEastAsia" w:hAnsi="Verdana"/>
        </w:rPr>
        <w:t xml:space="preserve"> Der ses ligeledes bort fra de eventuelle finansieringsomkostninger, som de to uddannelsesløft vil være forbundet med. Til gengæld ses der for begge politikeksperimenter helt bort fra beskæftigelseseffekterne af øget uddannelse, hvilket, alt andet lige, gør udregningerne til konservative skøn af uddannelsernes effekt for samfundsøkonomien. </w:t>
      </w:r>
    </w:p>
    <w:p w14:paraId="18EA3C61" w14:textId="77777777" w:rsidR="00211EEB" w:rsidRPr="00554553" w:rsidRDefault="00211EEB" w:rsidP="00554553">
      <w:pPr>
        <w:pStyle w:val="NoSpacing"/>
        <w:rPr>
          <w:rFonts w:ascii="Verdana" w:hAnsi="Verdana"/>
        </w:rPr>
      </w:pPr>
    </w:p>
    <w:p w14:paraId="725631EC" w14:textId="77777777" w:rsidR="00C73A61" w:rsidRPr="00550573" w:rsidRDefault="00C73A61" w:rsidP="003E608C">
      <w:pPr>
        <w:pStyle w:val="Heading2"/>
        <w:rPr>
          <w:lang w:val="da-DK"/>
        </w:rPr>
      </w:pPr>
      <w:r w:rsidRPr="00550573">
        <w:rPr>
          <w:lang w:val="da-DK"/>
        </w:rPr>
        <w:t>Opregning af samlet effekt</w:t>
      </w:r>
    </w:p>
    <w:p w14:paraId="208F692E" w14:textId="0AE361AE" w:rsidR="00554553" w:rsidRPr="00211EEB" w:rsidRDefault="00C73A61" w:rsidP="00211EEB">
      <w:pPr>
        <w:pStyle w:val="NoSpacing"/>
        <w:rPr>
          <w:rFonts w:ascii="Verdana" w:hAnsi="Verdana"/>
        </w:rPr>
      </w:pPr>
      <w:r w:rsidRPr="00554553">
        <w:rPr>
          <w:rFonts w:ascii="Verdana" w:hAnsi="Verdana"/>
        </w:rPr>
        <w:t>Herunder opregnes de samlede produktivitetseffekter af ændrede bevillinger ved d</w:t>
      </w:r>
      <w:r w:rsidR="00126F98">
        <w:rPr>
          <w:rFonts w:ascii="Verdana" w:hAnsi="Verdana"/>
        </w:rPr>
        <w:t xml:space="preserve">e to forskellige analysemetoder på de to konkrete cases, som blev beskrevet ovenfor. </w:t>
      </w:r>
    </w:p>
    <w:p w14:paraId="38C2D3F7" w14:textId="77777777" w:rsidR="00C73A61" w:rsidRPr="003E608C" w:rsidRDefault="00C73A61" w:rsidP="003E608C">
      <w:pPr>
        <w:pStyle w:val="Heading3"/>
      </w:pPr>
      <w:r w:rsidRPr="003E608C">
        <w:t>Uddannelseskvalitet</w:t>
      </w:r>
    </w:p>
    <w:p w14:paraId="403B24DA" w14:textId="041401B1" w:rsidR="00211EEB" w:rsidRDefault="00C73A61" w:rsidP="00554553">
      <w:pPr>
        <w:pStyle w:val="NoSpacing"/>
        <w:rPr>
          <w:rFonts w:ascii="Verdana" w:hAnsi="Verdana"/>
        </w:rPr>
      </w:pPr>
      <w:r w:rsidRPr="00554553">
        <w:rPr>
          <w:rFonts w:ascii="Verdana" w:hAnsi="Verdana"/>
        </w:rPr>
        <w:t>Ved hjælp af Økonomi- og Indenrigsministeriets kommunale nøgletal kan den gennemsnitlige klassekvotient beregnes på tværs af kommuner. Vi finder, at der i 2015</w:t>
      </w:r>
      <w:r w:rsidR="00E80A70">
        <w:rPr>
          <w:rStyle w:val="FootnoteReference"/>
          <w:rFonts w:ascii="Verdana" w:hAnsi="Verdana"/>
        </w:rPr>
        <w:footnoteReference w:id="1"/>
      </w:r>
      <w:r w:rsidRPr="00554553">
        <w:rPr>
          <w:rFonts w:ascii="Verdana" w:hAnsi="Verdana"/>
        </w:rPr>
        <w:t xml:space="preserve"> var 2</w:t>
      </w:r>
      <w:r w:rsidR="00E80A70">
        <w:rPr>
          <w:rFonts w:ascii="Verdana" w:hAnsi="Verdana"/>
        </w:rPr>
        <w:t>1,7</w:t>
      </w:r>
      <w:r w:rsidRPr="00554553">
        <w:rPr>
          <w:rFonts w:ascii="Verdana" w:hAnsi="Verdana"/>
        </w:rPr>
        <w:t xml:space="preserve"> elever i en gennemsnitlig folkeskoleklasse. Her er gennemsnittet beregnet som det vægtede gennemsnit, hvor antal normalklasser pr. kommune er anvendt s</w:t>
      </w:r>
      <w:r w:rsidR="0020309E">
        <w:rPr>
          <w:rFonts w:ascii="Verdana" w:hAnsi="Verdana"/>
        </w:rPr>
        <w:t>om vægt</w:t>
      </w:r>
      <w:r w:rsidRPr="00554553">
        <w:rPr>
          <w:rFonts w:ascii="Verdana" w:hAnsi="Verdana"/>
        </w:rPr>
        <w:t xml:space="preserve">. I alt var der i 2015 24.865 folkeskoleklasser. </w:t>
      </w:r>
    </w:p>
    <w:p w14:paraId="423E942B" w14:textId="77777777" w:rsidR="00211EEB" w:rsidRDefault="00211EEB" w:rsidP="00554553">
      <w:pPr>
        <w:pStyle w:val="NoSpacing"/>
        <w:rPr>
          <w:rFonts w:ascii="Verdana" w:hAnsi="Verdana"/>
        </w:rPr>
      </w:pPr>
    </w:p>
    <w:p w14:paraId="254A84CC" w14:textId="53FC7B5B" w:rsidR="00C73A61" w:rsidRPr="00554553" w:rsidRDefault="00C35CE1" w:rsidP="00554553">
      <w:pPr>
        <w:pStyle w:val="NoSpacing"/>
        <w:rPr>
          <w:rFonts w:ascii="Verdana" w:hAnsi="Verdana"/>
        </w:rPr>
      </w:pPr>
      <w:r>
        <w:rPr>
          <w:rFonts w:ascii="Verdana" w:hAnsi="Verdana"/>
        </w:rPr>
        <w:t>Af Kommunernes o</w:t>
      </w:r>
      <w:r w:rsidRPr="00C35CE1">
        <w:rPr>
          <w:rFonts w:ascii="Verdana" w:hAnsi="Verdana"/>
        </w:rPr>
        <w:t>g Regionernes Løndatakontor</w:t>
      </w:r>
      <w:r>
        <w:rPr>
          <w:rFonts w:ascii="Verdana" w:hAnsi="Verdana"/>
        </w:rPr>
        <w:t xml:space="preserve"> </w:t>
      </w:r>
      <w:r w:rsidR="00E80A70">
        <w:rPr>
          <w:rFonts w:ascii="Verdana" w:hAnsi="Verdana"/>
        </w:rPr>
        <w:t>fremgår det</w:t>
      </w:r>
      <w:r w:rsidR="00C73A61" w:rsidRPr="00554553">
        <w:rPr>
          <w:rFonts w:ascii="Verdana" w:hAnsi="Verdana"/>
        </w:rPr>
        <w:t xml:space="preserve">, at der i </w:t>
      </w:r>
      <w:r>
        <w:rPr>
          <w:rFonts w:ascii="Verdana" w:hAnsi="Verdana"/>
        </w:rPr>
        <w:t xml:space="preserve">august </w:t>
      </w:r>
      <w:r w:rsidR="00C73A61" w:rsidRPr="00554553">
        <w:rPr>
          <w:rFonts w:ascii="Verdana" w:hAnsi="Verdana"/>
        </w:rPr>
        <w:t xml:space="preserve">2015 var </w:t>
      </w:r>
      <w:r>
        <w:rPr>
          <w:rFonts w:ascii="Verdana" w:hAnsi="Verdana"/>
        </w:rPr>
        <w:t>47.730</w:t>
      </w:r>
      <w:r w:rsidR="00C73A61" w:rsidRPr="00554553">
        <w:rPr>
          <w:rFonts w:ascii="Verdana" w:hAnsi="Verdana"/>
        </w:rPr>
        <w:t xml:space="preserve"> </w:t>
      </w:r>
      <w:r>
        <w:rPr>
          <w:rFonts w:ascii="Verdana" w:hAnsi="Verdana"/>
        </w:rPr>
        <w:t xml:space="preserve">fuldtidsansatte lærere i folkeskolen </w:t>
      </w:r>
      <w:sdt>
        <w:sdtPr>
          <w:rPr>
            <w:rFonts w:ascii="Verdana" w:hAnsi="Verdana"/>
          </w:rPr>
          <w:id w:val="1785385081"/>
          <w:citation/>
        </w:sdtPr>
        <w:sdtEndPr/>
        <w:sdtContent>
          <w:r>
            <w:rPr>
              <w:rFonts w:ascii="Verdana" w:hAnsi="Verdana"/>
            </w:rPr>
            <w:fldChar w:fldCharType="begin"/>
          </w:r>
          <w:r>
            <w:rPr>
              <w:rFonts w:ascii="Verdana" w:hAnsi="Verdana"/>
            </w:rPr>
            <w:instrText xml:space="preserve"> CITATION Dan17 \l 1030 </w:instrText>
          </w:r>
          <w:r>
            <w:rPr>
              <w:rFonts w:ascii="Verdana" w:hAnsi="Verdana"/>
            </w:rPr>
            <w:fldChar w:fldCharType="separate"/>
          </w:r>
          <w:r w:rsidRPr="005D7B12">
            <w:rPr>
              <w:rFonts w:ascii="Verdana" w:hAnsi="Verdana"/>
              <w:noProof/>
            </w:rPr>
            <w:t>(Danmarks Lærerforening, 2017)</w:t>
          </w:r>
          <w:r>
            <w:rPr>
              <w:rFonts w:ascii="Verdana" w:hAnsi="Verdana"/>
            </w:rPr>
            <w:fldChar w:fldCharType="end"/>
          </w:r>
        </w:sdtContent>
      </w:sdt>
      <w:r>
        <w:rPr>
          <w:rFonts w:ascii="Verdana" w:hAnsi="Verdana"/>
        </w:rPr>
        <w:t xml:space="preserve">. </w:t>
      </w:r>
    </w:p>
    <w:p w14:paraId="36D54653" w14:textId="181544C7" w:rsidR="00C73A61" w:rsidRDefault="00C73A61" w:rsidP="00554553">
      <w:pPr>
        <w:pStyle w:val="NoSpacing"/>
        <w:rPr>
          <w:rFonts w:ascii="Verdana" w:hAnsi="Verdana"/>
        </w:rPr>
      </w:pPr>
      <w:r w:rsidRPr="00554553">
        <w:rPr>
          <w:rFonts w:ascii="Verdana" w:hAnsi="Verdana"/>
        </w:rPr>
        <w:t>Hvis man i 2015 ville have sænket den gennemsnitlige klassekvotient</w:t>
      </w:r>
      <w:r w:rsidR="0058386C" w:rsidRPr="00554553">
        <w:rPr>
          <w:rFonts w:ascii="Verdana" w:hAnsi="Verdana"/>
        </w:rPr>
        <w:t xml:space="preserve"> med 10 procent</w:t>
      </w:r>
      <w:r w:rsidRPr="00554553">
        <w:rPr>
          <w:rFonts w:ascii="Verdana" w:hAnsi="Verdana"/>
        </w:rPr>
        <w:t xml:space="preserve"> svare</w:t>
      </w:r>
      <w:r w:rsidR="0058386C" w:rsidRPr="00554553">
        <w:rPr>
          <w:rFonts w:ascii="Verdana" w:hAnsi="Verdana"/>
        </w:rPr>
        <w:t>r</w:t>
      </w:r>
      <w:r w:rsidRPr="00554553">
        <w:rPr>
          <w:rFonts w:ascii="Verdana" w:hAnsi="Verdana"/>
        </w:rPr>
        <w:t xml:space="preserve"> dette til, at der i stedet for at være 24.865 folkeskoleklasser, skulle have været 27.628 klasser. Antages antallet af lærer pr. klasse at være uændret, skulle der have været ansat yderligere ca. 5.</w:t>
      </w:r>
      <w:r w:rsidR="006263BF">
        <w:rPr>
          <w:rFonts w:ascii="Verdana" w:hAnsi="Verdana"/>
        </w:rPr>
        <w:t>300</w:t>
      </w:r>
      <w:r w:rsidRPr="00554553">
        <w:rPr>
          <w:rFonts w:ascii="Verdana" w:hAnsi="Verdana"/>
        </w:rPr>
        <w:t xml:space="preserve"> lærere</w:t>
      </w:r>
      <w:r w:rsidR="00554553">
        <w:rPr>
          <w:rFonts w:ascii="Verdana" w:hAnsi="Verdana"/>
        </w:rPr>
        <w:t xml:space="preserve"> i 2015, for at</w:t>
      </w:r>
      <w:r w:rsidR="00D340FE">
        <w:rPr>
          <w:rFonts w:ascii="Verdana" w:hAnsi="Verdana"/>
        </w:rPr>
        <w:t xml:space="preserve"> sænke den gennemsnitlige klassekvotient til 19,</w:t>
      </w:r>
      <w:r w:rsidR="00E80A70">
        <w:rPr>
          <w:rFonts w:ascii="Verdana" w:hAnsi="Verdana"/>
        </w:rPr>
        <w:t>5</w:t>
      </w:r>
      <w:r w:rsidR="00D340FE">
        <w:rPr>
          <w:rFonts w:ascii="Verdana" w:hAnsi="Verdana"/>
        </w:rPr>
        <w:t xml:space="preserve"> elever på klasse</w:t>
      </w:r>
      <w:r w:rsidRPr="00554553">
        <w:rPr>
          <w:rFonts w:ascii="Verdana" w:hAnsi="Verdana"/>
        </w:rPr>
        <w:t>. De samlede beregninger er vist i Tabel 3 herunder.</w:t>
      </w:r>
    </w:p>
    <w:p w14:paraId="2CA3CE00" w14:textId="77777777" w:rsidR="00554553" w:rsidRPr="00554553" w:rsidRDefault="00554553" w:rsidP="00554553">
      <w:pPr>
        <w:pStyle w:val="NoSpacing"/>
        <w:rPr>
          <w:rFonts w:ascii="Verdana" w:hAnsi="Verdana"/>
        </w:rPr>
      </w:pPr>
    </w:p>
    <w:p w14:paraId="2322B10A" w14:textId="4075B5FA" w:rsidR="00C73A61" w:rsidRPr="002E596C" w:rsidRDefault="00C73A61" w:rsidP="00C73A61">
      <w:pPr>
        <w:pStyle w:val="NoSpacing"/>
        <w:rPr>
          <w:rFonts w:ascii="Verdana" w:hAnsi="Verdana"/>
          <w:i/>
        </w:rPr>
      </w:pPr>
      <w:r>
        <w:rPr>
          <w:rFonts w:ascii="Verdana" w:hAnsi="Verdana"/>
          <w:i/>
        </w:rPr>
        <w:t xml:space="preserve">Tabel </w:t>
      </w:r>
      <w:r w:rsidR="00B659A0">
        <w:rPr>
          <w:rFonts w:ascii="Verdana" w:hAnsi="Verdana"/>
          <w:i/>
        </w:rPr>
        <w:t>5</w:t>
      </w:r>
      <w:r>
        <w:rPr>
          <w:rFonts w:ascii="Verdana" w:hAnsi="Verdana"/>
          <w:i/>
        </w:rPr>
        <w:t>: Ændringer i centrale størrelser, ved en sænkelse af klassekvotienten med 10 pct.</w:t>
      </w:r>
    </w:p>
    <w:tbl>
      <w:tblPr>
        <w:tblStyle w:val="LightShading"/>
        <w:tblW w:w="9043" w:type="dxa"/>
        <w:tblLook w:val="04A0" w:firstRow="1" w:lastRow="0" w:firstColumn="1" w:lastColumn="0" w:noHBand="0" w:noVBand="1"/>
      </w:tblPr>
      <w:tblGrid>
        <w:gridCol w:w="1843"/>
        <w:gridCol w:w="1583"/>
        <w:gridCol w:w="1960"/>
        <w:gridCol w:w="1997"/>
        <w:gridCol w:w="1660"/>
      </w:tblGrid>
      <w:tr w:rsidR="00C73A61" w:rsidRPr="00DD16D0" w14:paraId="2913E6B7" w14:textId="77777777" w:rsidTr="0086085E">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4EE9AB6" w14:textId="77777777" w:rsidR="00C73A61" w:rsidRPr="00DD16D0" w:rsidRDefault="00C73A61" w:rsidP="0063541E">
            <w:pPr>
              <w:rPr>
                <w:rFonts w:ascii="Times New Roman" w:eastAsia="Times New Roman" w:hAnsi="Times New Roman" w:cs="Times New Roman"/>
                <w:sz w:val="24"/>
                <w:szCs w:val="24"/>
                <w:lang w:eastAsia="da-DK"/>
              </w:rPr>
            </w:pPr>
          </w:p>
        </w:tc>
        <w:tc>
          <w:tcPr>
            <w:tcW w:w="1583" w:type="dxa"/>
            <w:noWrap/>
            <w:hideMark/>
          </w:tcPr>
          <w:p w14:paraId="50B1F5EF" w14:textId="77777777" w:rsidR="00C73A61" w:rsidRPr="00DD16D0" w:rsidRDefault="00C73A61" w:rsidP="006354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DD16D0">
              <w:rPr>
                <w:rFonts w:ascii="Calibri" w:eastAsia="Times New Roman" w:hAnsi="Calibri" w:cs="Calibri"/>
                <w:color w:val="000000"/>
                <w:lang w:eastAsia="da-DK"/>
              </w:rPr>
              <w:t>Klassekvotient</w:t>
            </w:r>
          </w:p>
        </w:tc>
        <w:tc>
          <w:tcPr>
            <w:tcW w:w="1960" w:type="dxa"/>
            <w:noWrap/>
            <w:hideMark/>
          </w:tcPr>
          <w:p w14:paraId="5634A60B" w14:textId="77777777" w:rsidR="00C73A61" w:rsidRPr="00DD16D0" w:rsidRDefault="00C73A61" w:rsidP="006354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DD16D0">
              <w:rPr>
                <w:rFonts w:ascii="Calibri" w:eastAsia="Times New Roman" w:hAnsi="Calibri" w:cs="Calibri"/>
                <w:color w:val="000000"/>
                <w:lang w:eastAsia="da-DK"/>
              </w:rPr>
              <w:t>Antal lærerstillinger</w:t>
            </w:r>
          </w:p>
        </w:tc>
        <w:tc>
          <w:tcPr>
            <w:tcW w:w="1997" w:type="dxa"/>
            <w:noWrap/>
            <w:hideMark/>
          </w:tcPr>
          <w:p w14:paraId="3CD2D421" w14:textId="77777777" w:rsidR="00C73A61" w:rsidRPr="00DD16D0" w:rsidRDefault="00C73A61" w:rsidP="006354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DD16D0">
              <w:rPr>
                <w:rFonts w:ascii="Calibri" w:eastAsia="Times New Roman" w:hAnsi="Calibri" w:cs="Calibri"/>
                <w:color w:val="000000"/>
                <w:lang w:eastAsia="da-DK"/>
              </w:rPr>
              <w:t>Antal normalklasser</w:t>
            </w:r>
          </w:p>
        </w:tc>
        <w:tc>
          <w:tcPr>
            <w:tcW w:w="1660" w:type="dxa"/>
            <w:noWrap/>
            <w:hideMark/>
          </w:tcPr>
          <w:p w14:paraId="7F20D18C" w14:textId="77777777" w:rsidR="00C73A61" w:rsidRPr="00DD16D0" w:rsidRDefault="00C73A61" w:rsidP="0063541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DD16D0">
              <w:rPr>
                <w:rFonts w:ascii="Calibri" w:eastAsia="Times New Roman" w:hAnsi="Calibri" w:cs="Calibri"/>
                <w:color w:val="000000"/>
                <w:lang w:eastAsia="da-DK"/>
              </w:rPr>
              <w:t>Lærer</w:t>
            </w:r>
            <w:r w:rsidR="00D340FE">
              <w:rPr>
                <w:rFonts w:ascii="Calibri" w:eastAsia="Times New Roman" w:hAnsi="Calibri" w:cs="Calibri"/>
                <w:color w:val="000000"/>
                <w:lang w:eastAsia="da-DK"/>
              </w:rPr>
              <w:t>e</w:t>
            </w:r>
            <w:r w:rsidRPr="00DD16D0">
              <w:rPr>
                <w:rFonts w:ascii="Calibri" w:eastAsia="Times New Roman" w:hAnsi="Calibri" w:cs="Calibri"/>
                <w:color w:val="000000"/>
                <w:lang w:eastAsia="da-DK"/>
              </w:rPr>
              <w:t xml:space="preserve"> pr. klasse</w:t>
            </w:r>
          </w:p>
        </w:tc>
      </w:tr>
      <w:tr w:rsidR="006263BF" w:rsidRPr="00DD16D0" w14:paraId="3AD8DBD3" w14:textId="77777777" w:rsidTr="005D7B1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B86C1E2" w14:textId="77777777" w:rsidR="006263BF" w:rsidRPr="00DD16D0" w:rsidRDefault="006263BF" w:rsidP="006263BF">
            <w:pPr>
              <w:rPr>
                <w:rFonts w:ascii="Calibri" w:eastAsia="Times New Roman" w:hAnsi="Calibri" w:cs="Calibri"/>
                <w:color w:val="000000"/>
                <w:lang w:eastAsia="da-DK"/>
              </w:rPr>
            </w:pPr>
            <w:r w:rsidRPr="00DD16D0">
              <w:rPr>
                <w:rFonts w:ascii="Calibri" w:eastAsia="Times New Roman" w:hAnsi="Calibri" w:cs="Calibri"/>
                <w:color w:val="000000"/>
                <w:lang w:eastAsia="da-DK"/>
              </w:rPr>
              <w:t>2015 - faktisk</w:t>
            </w:r>
          </w:p>
        </w:tc>
        <w:tc>
          <w:tcPr>
            <w:tcW w:w="1583" w:type="dxa"/>
            <w:noWrap/>
            <w:vAlign w:val="bottom"/>
            <w:hideMark/>
          </w:tcPr>
          <w:p w14:paraId="7BC8FF46" w14:textId="02FC3D4B"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21,7</w:t>
            </w:r>
          </w:p>
        </w:tc>
        <w:tc>
          <w:tcPr>
            <w:tcW w:w="1960" w:type="dxa"/>
            <w:noWrap/>
            <w:vAlign w:val="bottom"/>
            <w:hideMark/>
          </w:tcPr>
          <w:p w14:paraId="68F60A27" w14:textId="21C82629"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47.730</w:t>
            </w:r>
          </w:p>
        </w:tc>
        <w:tc>
          <w:tcPr>
            <w:tcW w:w="1997" w:type="dxa"/>
            <w:noWrap/>
            <w:vAlign w:val="bottom"/>
            <w:hideMark/>
          </w:tcPr>
          <w:p w14:paraId="41F05F65" w14:textId="166CCA6A"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24.865</w:t>
            </w:r>
          </w:p>
        </w:tc>
        <w:tc>
          <w:tcPr>
            <w:tcW w:w="1660" w:type="dxa"/>
            <w:noWrap/>
            <w:vAlign w:val="bottom"/>
            <w:hideMark/>
          </w:tcPr>
          <w:p w14:paraId="3D888EBE" w14:textId="669E14FB"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1,9</w:t>
            </w:r>
          </w:p>
        </w:tc>
      </w:tr>
      <w:tr w:rsidR="006263BF" w:rsidRPr="00DD16D0" w14:paraId="16EE9AD3" w14:textId="77777777" w:rsidTr="005D7B12">
        <w:trPr>
          <w:trHeight w:val="24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C760E76" w14:textId="77777777" w:rsidR="006263BF" w:rsidRPr="00DD16D0" w:rsidRDefault="006263BF" w:rsidP="006263BF">
            <w:pPr>
              <w:rPr>
                <w:rFonts w:ascii="Calibri" w:eastAsia="Times New Roman" w:hAnsi="Calibri" w:cs="Calibri"/>
                <w:color w:val="000000"/>
                <w:lang w:eastAsia="da-DK"/>
              </w:rPr>
            </w:pPr>
            <w:r w:rsidRPr="00DD16D0">
              <w:rPr>
                <w:rFonts w:ascii="Calibri" w:eastAsia="Times New Roman" w:hAnsi="Calibri" w:cs="Calibri"/>
                <w:color w:val="000000"/>
                <w:lang w:eastAsia="da-DK"/>
              </w:rPr>
              <w:t xml:space="preserve">2015 </w:t>
            </w:r>
            <w:r>
              <w:rPr>
                <w:rFonts w:ascii="Calibri" w:eastAsia="Times New Roman" w:hAnsi="Calibri" w:cs="Calibri"/>
                <w:color w:val="000000"/>
                <w:lang w:eastAsia="da-DK"/>
              </w:rPr>
              <w:t xml:space="preserve">- </w:t>
            </w:r>
            <w:r w:rsidRPr="00DD16D0">
              <w:rPr>
                <w:rFonts w:ascii="Calibri" w:eastAsia="Times New Roman" w:hAnsi="Calibri" w:cs="Calibri"/>
                <w:color w:val="000000"/>
                <w:lang w:eastAsia="da-DK"/>
              </w:rPr>
              <w:t>alternativ</w:t>
            </w:r>
          </w:p>
        </w:tc>
        <w:tc>
          <w:tcPr>
            <w:tcW w:w="1583" w:type="dxa"/>
            <w:noWrap/>
            <w:vAlign w:val="bottom"/>
            <w:hideMark/>
          </w:tcPr>
          <w:p w14:paraId="4815926B" w14:textId="2D67616C" w:rsidR="006263BF" w:rsidRPr="00DD16D0" w:rsidRDefault="006263BF" w:rsidP="006263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19,5</w:t>
            </w:r>
          </w:p>
        </w:tc>
        <w:tc>
          <w:tcPr>
            <w:tcW w:w="1960" w:type="dxa"/>
            <w:noWrap/>
            <w:vAlign w:val="bottom"/>
            <w:hideMark/>
          </w:tcPr>
          <w:p w14:paraId="7E9EECA2" w14:textId="721131FD" w:rsidR="006263BF" w:rsidRPr="00DD16D0" w:rsidRDefault="006263BF" w:rsidP="006263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53.034</w:t>
            </w:r>
          </w:p>
        </w:tc>
        <w:tc>
          <w:tcPr>
            <w:tcW w:w="1997" w:type="dxa"/>
            <w:noWrap/>
            <w:vAlign w:val="bottom"/>
            <w:hideMark/>
          </w:tcPr>
          <w:p w14:paraId="31E8F3EB" w14:textId="18B7BB3C" w:rsidR="006263BF" w:rsidRPr="00DD16D0" w:rsidRDefault="006263BF" w:rsidP="006263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27.628</w:t>
            </w:r>
          </w:p>
        </w:tc>
        <w:tc>
          <w:tcPr>
            <w:tcW w:w="1660" w:type="dxa"/>
            <w:noWrap/>
            <w:vAlign w:val="bottom"/>
            <w:hideMark/>
          </w:tcPr>
          <w:p w14:paraId="50E25BF5" w14:textId="5B96BE18" w:rsidR="006263BF" w:rsidRPr="00DD16D0" w:rsidRDefault="006263BF" w:rsidP="006263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1,9</w:t>
            </w:r>
          </w:p>
        </w:tc>
      </w:tr>
      <w:tr w:rsidR="006263BF" w:rsidRPr="00DD16D0" w14:paraId="53FF6E15" w14:textId="77777777" w:rsidTr="005D7B1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43" w:type="dxa"/>
            <w:noWrap/>
          </w:tcPr>
          <w:p w14:paraId="18576CF7" w14:textId="092EF493" w:rsidR="006263BF" w:rsidRPr="00DD16D0" w:rsidRDefault="006263BF" w:rsidP="006263BF">
            <w:pPr>
              <w:rPr>
                <w:rFonts w:ascii="Calibri" w:eastAsia="Times New Roman" w:hAnsi="Calibri" w:cs="Calibri"/>
                <w:color w:val="000000"/>
                <w:lang w:eastAsia="da-DK"/>
              </w:rPr>
            </w:pPr>
            <w:r>
              <w:rPr>
                <w:rFonts w:ascii="Calibri" w:eastAsia="Times New Roman" w:hAnsi="Calibri" w:cs="Calibri"/>
                <w:color w:val="000000"/>
                <w:lang w:eastAsia="da-DK"/>
              </w:rPr>
              <w:t>Forskel</w:t>
            </w:r>
          </w:p>
        </w:tc>
        <w:tc>
          <w:tcPr>
            <w:tcW w:w="1583" w:type="dxa"/>
            <w:noWrap/>
            <w:vAlign w:val="bottom"/>
          </w:tcPr>
          <w:p w14:paraId="6CFBFD65" w14:textId="41077BA1"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-2,2</w:t>
            </w:r>
          </w:p>
        </w:tc>
        <w:tc>
          <w:tcPr>
            <w:tcW w:w="1960" w:type="dxa"/>
            <w:noWrap/>
            <w:vAlign w:val="bottom"/>
          </w:tcPr>
          <w:p w14:paraId="1A34F857" w14:textId="571EB251"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5304</w:t>
            </w:r>
          </w:p>
        </w:tc>
        <w:tc>
          <w:tcPr>
            <w:tcW w:w="1997" w:type="dxa"/>
            <w:noWrap/>
            <w:vAlign w:val="bottom"/>
          </w:tcPr>
          <w:p w14:paraId="7D27E3C4" w14:textId="4FABBDAB" w:rsidR="006263BF"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2763</w:t>
            </w:r>
          </w:p>
        </w:tc>
        <w:tc>
          <w:tcPr>
            <w:tcW w:w="1660" w:type="dxa"/>
            <w:noWrap/>
            <w:vAlign w:val="bottom"/>
          </w:tcPr>
          <w:p w14:paraId="7E59BEF3" w14:textId="0A9826B6" w:rsidR="006263BF" w:rsidRPr="00DD16D0" w:rsidRDefault="006263BF" w:rsidP="006263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hAnsi="Calibri" w:cs="Calibri"/>
                <w:color w:val="000000"/>
              </w:rPr>
              <w:t>0</w:t>
            </w:r>
          </w:p>
        </w:tc>
      </w:tr>
    </w:tbl>
    <w:p w14:paraId="5AB65BCE" w14:textId="31C3E3FC" w:rsidR="00C73A61" w:rsidRPr="00D340FE" w:rsidRDefault="00C73A61" w:rsidP="00C73A61">
      <w:pPr>
        <w:rPr>
          <w:rFonts w:ascii="Verdana" w:hAnsi="Verdana"/>
          <w:i/>
          <w:sz w:val="20"/>
          <w:szCs w:val="20"/>
        </w:rPr>
      </w:pPr>
      <w:r w:rsidRPr="00D340FE">
        <w:rPr>
          <w:rFonts w:ascii="Verdana" w:hAnsi="Verdana"/>
          <w:i/>
          <w:sz w:val="20"/>
          <w:szCs w:val="20"/>
        </w:rPr>
        <w:t>Kilde: Økonomi- og Indenrigsm</w:t>
      </w:r>
      <w:r w:rsidR="00D340FE">
        <w:rPr>
          <w:rFonts w:ascii="Verdana" w:hAnsi="Verdana"/>
          <w:i/>
          <w:sz w:val="20"/>
          <w:szCs w:val="20"/>
        </w:rPr>
        <w:t>inisteriets kommunale nøgletal</w:t>
      </w:r>
      <w:r w:rsidRPr="00D340FE">
        <w:rPr>
          <w:rFonts w:ascii="Verdana" w:hAnsi="Verdana"/>
          <w:i/>
          <w:sz w:val="20"/>
          <w:szCs w:val="20"/>
        </w:rPr>
        <w:t xml:space="preserve"> og</w:t>
      </w:r>
      <w:r w:rsidR="00B40F2C">
        <w:rPr>
          <w:rFonts w:ascii="Verdana" w:hAnsi="Verdana"/>
          <w:i/>
          <w:sz w:val="20"/>
          <w:szCs w:val="20"/>
        </w:rPr>
        <w:t xml:space="preserve"> </w:t>
      </w:r>
      <w:r w:rsidR="00B40F2C">
        <w:rPr>
          <w:rFonts w:ascii="Verdana" w:hAnsi="Verdana"/>
        </w:rPr>
        <w:t>Kommunernes o</w:t>
      </w:r>
      <w:r w:rsidR="00B40F2C" w:rsidRPr="00C35CE1">
        <w:rPr>
          <w:rFonts w:ascii="Verdana" w:hAnsi="Verdana"/>
        </w:rPr>
        <w:t xml:space="preserve">g Regionernes </w:t>
      </w:r>
      <w:proofErr w:type="gramStart"/>
      <w:r w:rsidR="00B40F2C" w:rsidRPr="00C35CE1">
        <w:rPr>
          <w:rFonts w:ascii="Verdana" w:hAnsi="Verdana"/>
        </w:rPr>
        <w:t>Løndatakontor</w:t>
      </w:r>
      <w:r w:rsidR="00B40F2C">
        <w:rPr>
          <w:rFonts w:ascii="Verdana" w:hAnsi="Verdana"/>
        </w:rPr>
        <w:t xml:space="preserve"> </w:t>
      </w:r>
      <w:r w:rsidRPr="00D340FE">
        <w:rPr>
          <w:rFonts w:ascii="Verdana" w:hAnsi="Verdana"/>
          <w:i/>
          <w:sz w:val="20"/>
          <w:szCs w:val="20"/>
        </w:rPr>
        <w:t>.</w:t>
      </w:r>
      <w:proofErr w:type="gramEnd"/>
    </w:p>
    <w:p w14:paraId="04FB82C8" w14:textId="0CF1D9FF" w:rsidR="009A374B" w:rsidRDefault="00C25156" w:rsidP="00CE71AD">
      <w:pPr>
        <w:pStyle w:val="NoSpacing"/>
        <w:rPr>
          <w:rFonts w:ascii="Verdana" w:hAnsi="Verdana"/>
        </w:rPr>
      </w:pPr>
      <w:r>
        <w:rPr>
          <w:rFonts w:ascii="Verdana" w:hAnsi="Verdana"/>
        </w:rPr>
        <w:t xml:space="preserve">Udgifterne til ansættelse af en </w:t>
      </w:r>
      <w:r w:rsidR="00B40F2C">
        <w:rPr>
          <w:rFonts w:ascii="Verdana" w:hAnsi="Verdana"/>
        </w:rPr>
        <w:t xml:space="preserve">fuldtids </w:t>
      </w:r>
      <w:r>
        <w:rPr>
          <w:rFonts w:ascii="Verdana" w:hAnsi="Verdana"/>
        </w:rPr>
        <w:t xml:space="preserve">folkeskolelærer sættes i regnestykket til 500.000, da en lærer tjener </w:t>
      </w:r>
      <w:r w:rsidR="00477929">
        <w:rPr>
          <w:rFonts w:ascii="Verdana" w:hAnsi="Verdana"/>
        </w:rPr>
        <w:t xml:space="preserve">omkring </w:t>
      </w:r>
      <w:r>
        <w:rPr>
          <w:rFonts w:ascii="Verdana" w:hAnsi="Verdana"/>
        </w:rPr>
        <w:t xml:space="preserve">31.000 kroner om måneden i gennemsnit (372.000 kroner årligt) hvortil der kommer </w:t>
      </w:r>
      <w:r w:rsidR="009A374B">
        <w:rPr>
          <w:rFonts w:ascii="Verdana" w:hAnsi="Verdana"/>
        </w:rPr>
        <w:t xml:space="preserve">yderligere </w:t>
      </w:r>
      <w:r w:rsidR="00477929">
        <w:rPr>
          <w:rFonts w:ascii="Verdana" w:hAnsi="Verdana"/>
        </w:rPr>
        <w:t xml:space="preserve">ca. </w:t>
      </w:r>
      <w:r>
        <w:rPr>
          <w:rFonts w:ascii="Verdana" w:hAnsi="Verdana"/>
        </w:rPr>
        <w:t>40 procent i personaleomkostninger.  Ved ansættelse af ekstra 5.</w:t>
      </w:r>
      <w:r w:rsidR="00B40F2C">
        <w:rPr>
          <w:rFonts w:ascii="Verdana" w:hAnsi="Verdana"/>
        </w:rPr>
        <w:t>300</w:t>
      </w:r>
      <w:r>
        <w:rPr>
          <w:rFonts w:ascii="Verdana" w:hAnsi="Verdana"/>
        </w:rPr>
        <w:t xml:space="preserve"> lærere kan vi således</w:t>
      </w:r>
      <w:r w:rsidR="009A374B">
        <w:rPr>
          <w:rFonts w:ascii="Verdana" w:hAnsi="Verdana"/>
        </w:rPr>
        <w:t xml:space="preserve"> forvente øgede udgifter på 2.</w:t>
      </w:r>
      <w:r w:rsidR="00B40F2C">
        <w:rPr>
          <w:rFonts w:ascii="Verdana" w:hAnsi="Verdana"/>
        </w:rPr>
        <w:t>650</w:t>
      </w:r>
      <w:r>
        <w:rPr>
          <w:rFonts w:ascii="Verdana" w:hAnsi="Verdana"/>
        </w:rPr>
        <w:t xml:space="preserve"> </w:t>
      </w:r>
      <w:r w:rsidR="009A374B">
        <w:rPr>
          <w:rFonts w:ascii="Verdana" w:hAnsi="Verdana"/>
        </w:rPr>
        <w:t>mio. kr.</w:t>
      </w:r>
      <w:r>
        <w:rPr>
          <w:rFonts w:ascii="Verdana" w:hAnsi="Verdana"/>
        </w:rPr>
        <w:t xml:space="preserve"> årligt. </w:t>
      </w:r>
      <w:r w:rsidR="00CE71AD" w:rsidRPr="00554553">
        <w:rPr>
          <w:rFonts w:ascii="Verdana" w:hAnsi="Verdana"/>
        </w:rPr>
        <w:t xml:space="preserve">Lærerlønningerne udgør naturligvis ikke den eneste udgift, hvis sådan en </w:t>
      </w:r>
      <w:r w:rsidR="00211EEB">
        <w:rPr>
          <w:rFonts w:ascii="Verdana" w:hAnsi="Verdana"/>
        </w:rPr>
        <w:t>sænkning af klassekvotienten</w:t>
      </w:r>
      <w:r w:rsidR="00CE71AD" w:rsidRPr="00554553">
        <w:rPr>
          <w:rFonts w:ascii="Verdana" w:hAnsi="Verdana"/>
        </w:rPr>
        <w:t xml:space="preserve"> faktisk skulle</w:t>
      </w:r>
      <w:r w:rsidR="00211EEB">
        <w:rPr>
          <w:rFonts w:ascii="Verdana" w:hAnsi="Verdana"/>
        </w:rPr>
        <w:t xml:space="preserve"> gennemføres</w:t>
      </w:r>
      <w:r w:rsidR="00CE71AD" w:rsidRPr="00554553">
        <w:rPr>
          <w:rFonts w:ascii="Verdana" w:hAnsi="Verdana"/>
        </w:rPr>
        <w:t>. Der vil også være udgifter forbundet med ekstra lokaler, øged</w:t>
      </w:r>
      <w:r w:rsidR="00CE71AD">
        <w:rPr>
          <w:rFonts w:ascii="Verdana" w:hAnsi="Verdana"/>
        </w:rPr>
        <w:t xml:space="preserve">e vareindkøb mv. Derfor </w:t>
      </w:r>
      <w:r w:rsidR="006262D6">
        <w:rPr>
          <w:rFonts w:ascii="Verdana" w:hAnsi="Verdana"/>
        </w:rPr>
        <w:t>forøges de offentlige investeringer, som er målrettet folkeskolen i takt med, at bevillingen til lærerlønninger øges. I g</w:t>
      </w:r>
      <w:r w:rsidR="00D1708F" w:rsidRPr="006262D6">
        <w:rPr>
          <w:rFonts w:ascii="Verdana" w:hAnsi="Verdana"/>
        </w:rPr>
        <w:t xml:space="preserve">ennemsnitligt udgør </w:t>
      </w:r>
      <w:r w:rsidR="00DE63A5" w:rsidRPr="006262D6">
        <w:rPr>
          <w:rFonts w:ascii="Verdana" w:hAnsi="Verdana"/>
        </w:rPr>
        <w:t>bygge- og anlægsinvesteringerne</w:t>
      </w:r>
      <w:r w:rsidR="006262D6">
        <w:rPr>
          <w:rFonts w:ascii="Verdana" w:hAnsi="Verdana"/>
        </w:rPr>
        <w:t>,</w:t>
      </w:r>
      <w:r w:rsidR="00DE63A5" w:rsidRPr="006262D6">
        <w:rPr>
          <w:rFonts w:ascii="Verdana" w:hAnsi="Verdana"/>
        </w:rPr>
        <w:t xml:space="preserve"> målrettet folkeskolen</w:t>
      </w:r>
      <w:r w:rsidR="006262D6">
        <w:rPr>
          <w:rFonts w:ascii="Verdana" w:hAnsi="Verdana"/>
        </w:rPr>
        <w:t>,</w:t>
      </w:r>
      <w:r w:rsidR="00DE63A5" w:rsidRPr="006262D6">
        <w:rPr>
          <w:rFonts w:ascii="Verdana" w:hAnsi="Verdana"/>
        </w:rPr>
        <w:t xml:space="preserve"> 6</w:t>
      </w:r>
      <w:r w:rsidR="009A374B">
        <w:rPr>
          <w:rFonts w:ascii="Verdana" w:hAnsi="Verdana"/>
        </w:rPr>
        <w:t>.000 mio</w:t>
      </w:r>
      <w:r w:rsidR="00DE63A5" w:rsidRPr="006262D6">
        <w:rPr>
          <w:rFonts w:ascii="Verdana" w:hAnsi="Verdana"/>
        </w:rPr>
        <w:t xml:space="preserve">. om året i faste priser. </w:t>
      </w:r>
      <w:r w:rsidR="006262D6">
        <w:rPr>
          <w:rFonts w:ascii="Verdana" w:hAnsi="Verdana"/>
        </w:rPr>
        <w:t xml:space="preserve">Forøges disse med f.eks. 11 pct., som svarer til forøgelsen i antal normalklasser, vil udgifterne til </w:t>
      </w:r>
      <w:r w:rsidR="002F4602">
        <w:rPr>
          <w:rFonts w:ascii="Verdana" w:hAnsi="Verdana"/>
        </w:rPr>
        <w:t>investeringer i folke</w:t>
      </w:r>
      <w:r w:rsidR="009A374B">
        <w:rPr>
          <w:rFonts w:ascii="Verdana" w:hAnsi="Verdana"/>
        </w:rPr>
        <w:t>skolen skulle forøges med ca. 66</w:t>
      </w:r>
      <w:r w:rsidR="002F4602">
        <w:rPr>
          <w:rFonts w:ascii="Verdana" w:hAnsi="Verdana"/>
        </w:rPr>
        <w:t>0 mio. kr.</w:t>
      </w:r>
      <w:r w:rsidR="006262D6">
        <w:rPr>
          <w:rFonts w:ascii="Verdana" w:hAnsi="Verdana"/>
        </w:rPr>
        <w:t xml:space="preserve"> </w:t>
      </w:r>
    </w:p>
    <w:p w14:paraId="20ECCECC" w14:textId="0834688E" w:rsidR="00CE71AD" w:rsidRDefault="00C25156" w:rsidP="00CE71AD">
      <w:pPr>
        <w:pStyle w:val="NoSpacing"/>
        <w:rPr>
          <w:rFonts w:ascii="Verdana" w:hAnsi="Verdana"/>
        </w:rPr>
      </w:pPr>
      <w:r>
        <w:rPr>
          <w:rFonts w:ascii="Verdana" w:hAnsi="Verdana"/>
        </w:rPr>
        <w:t>I alt ville de årlige udgifter til de ekstr</w:t>
      </w:r>
      <w:r w:rsidR="009A374B">
        <w:rPr>
          <w:rFonts w:ascii="Verdana" w:hAnsi="Verdana"/>
        </w:rPr>
        <w:t xml:space="preserve">a lærere således udgøre ca. 3.532 </w:t>
      </w:r>
      <w:r w:rsidR="000C014B">
        <w:rPr>
          <w:rFonts w:ascii="Verdana" w:hAnsi="Verdana"/>
        </w:rPr>
        <w:t xml:space="preserve">mio. </w:t>
      </w:r>
      <w:r w:rsidR="009A374B">
        <w:rPr>
          <w:rFonts w:ascii="Verdana" w:hAnsi="Verdana"/>
        </w:rPr>
        <w:t>kr</w:t>
      </w:r>
      <w:r>
        <w:rPr>
          <w:rFonts w:ascii="Verdana" w:hAnsi="Verdana"/>
        </w:rPr>
        <w:t>.</w:t>
      </w:r>
      <w:r w:rsidR="00B40F2C">
        <w:rPr>
          <w:rStyle w:val="FootnoteReference"/>
          <w:rFonts w:ascii="Verdana" w:hAnsi="Verdana"/>
        </w:rPr>
        <w:footnoteReference w:id="2"/>
      </w:r>
    </w:p>
    <w:p w14:paraId="37C61D3C" w14:textId="77777777" w:rsidR="00CE71AD" w:rsidRDefault="00CE71AD" w:rsidP="00F30990">
      <w:pPr>
        <w:pStyle w:val="NoSpacing"/>
        <w:rPr>
          <w:rFonts w:ascii="Verdana" w:hAnsi="Verdana"/>
        </w:rPr>
      </w:pPr>
    </w:p>
    <w:p w14:paraId="465C5852" w14:textId="65122585" w:rsidR="007F652B" w:rsidRDefault="00C73A61" w:rsidP="00F30990">
      <w:pPr>
        <w:pStyle w:val="NoSpacing"/>
        <w:rPr>
          <w:rFonts w:ascii="Verdana" w:hAnsi="Verdana"/>
        </w:rPr>
      </w:pPr>
      <w:r w:rsidRPr="00F30990">
        <w:rPr>
          <w:rFonts w:ascii="Verdana" w:hAnsi="Verdana"/>
        </w:rPr>
        <w:t xml:space="preserve">Foruden udgiftssiden skal der også foretages en opregning af de positive dynamiske effekter til produktiviteten. Her </w:t>
      </w:r>
      <w:r w:rsidR="00F30990" w:rsidRPr="00F30990">
        <w:rPr>
          <w:rFonts w:ascii="Verdana" w:hAnsi="Verdana"/>
        </w:rPr>
        <w:t>anvendes</w:t>
      </w:r>
      <w:r w:rsidR="00C67989" w:rsidRPr="00F30990">
        <w:rPr>
          <w:rFonts w:ascii="Verdana" w:hAnsi="Verdana"/>
        </w:rPr>
        <w:t xml:space="preserve"> samme tilgang, som</w:t>
      </w:r>
      <w:r w:rsidRPr="00F30990">
        <w:rPr>
          <w:rFonts w:ascii="Verdana" w:hAnsi="Verdana"/>
        </w:rPr>
        <w:t xml:space="preserve"> Alan B. </w:t>
      </w:r>
      <w:proofErr w:type="spellStart"/>
      <w:r w:rsidRPr="00F30990">
        <w:rPr>
          <w:rFonts w:ascii="Verdana" w:hAnsi="Verdana"/>
        </w:rPr>
        <w:t>Krueger</w:t>
      </w:r>
      <w:proofErr w:type="spellEnd"/>
      <w:r w:rsidR="00C67989" w:rsidRPr="00F30990">
        <w:rPr>
          <w:rFonts w:ascii="Verdana" w:hAnsi="Verdana"/>
        </w:rPr>
        <w:t xml:space="preserve"> anvender i </w:t>
      </w:r>
      <w:r w:rsidR="00B50332">
        <w:rPr>
          <w:rFonts w:ascii="Verdana" w:hAnsi="Verdana"/>
        </w:rPr>
        <w:t xml:space="preserve">studiet </w:t>
      </w:r>
      <w:r w:rsidRPr="00F30990">
        <w:rPr>
          <w:rFonts w:ascii="Verdana" w:hAnsi="Verdana"/>
        </w:rPr>
        <w:t>’</w:t>
      </w:r>
      <w:proofErr w:type="spellStart"/>
      <w:r w:rsidRPr="00F30990">
        <w:rPr>
          <w:rFonts w:ascii="Verdana" w:hAnsi="Verdana"/>
        </w:rPr>
        <w:t>Economi</w:t>
      </w:r>
      <w:r w:rsidR="00F30990" w:rsidRPr="00F30990">
        <w:rPr>
          <w:rFonts w:ascii="Verdana" w:hAnsi="Verdana"/>
        </w:rPr>
        <w:t>c</w:t>
      </w:r>
      <w:proofErr w:type="spellEnd"/>
      <w:r w:rsidRPr="00F30990">
        <w:rPr>
          <w:rFonts w:ascii="Verdana" w:hAnsi="Verdana"/>
        </w:rPr>
        <w:t xml:space="preserve"> </w:t>
      </w:r>
      <w:proofErr w:type="spellStart"/>
      <w:r w:rsidRPr="00F30990">
        <w:rPr>
          <w:rFonts w:ascii="Verdana" w:hAnsi="Verdana"/>
        </w:rPr>
        <w:t>Considerations</w:t>
      </w:r>
      <w:proofErr w:type="spellEnd"/>
      <w:r w:rsidRPr="00F30990">
        <w:rPr>
          <w:rFonts w:ascii="Verdana" w:hAnsi="Verdana"/>
        </w:rPr>
        <w:t xml:space="preserve"> and Class </w:t>
      </w:r>
      <w:proofErr w:type="spellStart"/>
      <w:r w:rsidRPr="00F30990">
        <w:rPr>
          <w:rFonts w:ascii="Verdana" w:hAnsi="Verdana"/>
        </w:rPr>
        <w:t>Size</w:t>
      </w:r>
      <w:proofErr w:type="spellEnd"/>
      <w:r w:rsidRPr="00F30990">
        <w:rPr>
          <w:rFonts w:ascii="Verdana" w:hAnsi="Verdana"/>
        </w:rPr>
        <w:t xml:space="preserve">’. </w:t>
      </w:r>
      <w:r w:rsidR="00B50332">
        <w:rPr>
          <w:rFonts w:ascii="Verdana" w:hAnsi="Verdana"/>
        </w:rPr>
        <w:t xml:space="preserve">Som nævnt </w:t>
      </w:r>
      <w:r w:rsidR="00CE71AD">
        <w:rPr>
          <w:rFonts w:ascii="Verdana" w:hAnsi="Verdana"/>
        </w:rPr>
        <w:t>f</w:t>
      </w:r>
      <w:r w:rsidRPr="00F30990">
        <w:rPr>
          <w:rFonts w:ascii="Verdana" w:hAnsi="Verdana"/>
        </w:rPr>
        <w:t xml:space="preserve">inder </w:t>
      </w:r>
      <w:proofErr w:type="spellStart"/>
      <w:r w:rsidRPr="00F30990">
        <w:rPr>
          <w:rFonts w:ascii="Verdana" w:hAnsi="Verdana"/>
        </w:rPr>
        <w:t>Krueger</w:t>
      </w:r>
      <w:proofErr w:type="spellEnd"/>
      <w:r w:rsidRPr="00F30990">
        <w:rPr>
          <w:rFonts w:ascii="Verdana" w:hAnsi="Verdana"/>
        </w:rPr>
        <w:t>, at den interne rente ved en sænkelse af klassekvotienten fra 22 til 15 elever (dvs. en langt mere drastisk reduktion i klassestørrelse) er på 6 pct.</w:t>
      </w:r>
      <w:r w:rsidR="007F652B" w:rsidRPr="00F30990">
        <w:rPr>
          <w:rFonts w:ascii="Verdana" w:hAnsi="Verdana"/>
        </w:rPr>
        <w:t xml:space="preserve"> </w:t>
      </w:r>
      <w:sdt>
        <w:sdtPr>
          <w:rPr>
            <w:rFonts w:ascii="Verdana" w:hAnsi="Verdana"/>
          </w:rPr>
          <w:id w:val="34476673"/>
          <w:citation/>
        </w:sdtPr>
        <w:sdtEndPr/>
        <w:sdtContent>
          <w:r w:rsidR="007F652B" w:rsidRPr="00F30990">
            <w:rPr>
              <w:rFonts w:ascii="Verdana" w:hAnsi="Verdana"/>
            </w:rPr>
            <w:fldChar w:fldCharType="begin"/>
          </w:r>
          <w:r w:rsidR="007F652B" w:rsidRPr="00F30990">
            <w:rPr>
              <w:rFonts w:ascii="Verdana" w:hAnsi="Verdana"/>
            </w:rPr>
            <w:instrText xml:space="preserve"> CITATION Kru03 \l 1030 </w:instrText>
          </w:r>
          <w:r w:rsidR="007F652B" w:rsidRPr="00F30990">
            <w:rPr>
              <w:rFonts w:ascii="Verdana" w:hAnsi="Verdana"/>
            </w:rPr>
            <w:fldChar w:fldCharType="separate"/>
          </w:r>
          <w:r w:rsidR="006A0FEA" w:rsidRPr="006A0FEA">
            <w:rPr>
              <w:rFonts w:ascii="Verdana" w:hAnsi="Verdana"/>
              <w:noProof/>
            </w:rPr>
            <w:t>(Krueger, 2003)</w:t>
          </w:r>
          <w:r w:rsidR="007F652B" w:rsidRPr="00F30990">
            <w:rPr>
              <w:rFonts w:ascii="Verdana" w:hAnsi="Verdana"/>
            </w:rPr>
            <w:fldChar w:fldCharType="end"/>
          </w:r>
        </w:sdtContent>
      </w:sdt>
      <w:r w:rsidR="007F652B" w:rsidRPr="00F30990">
        <w:rPr>
          <w:rFonts w:ascii="Verdana" w:hAnsi="Verdana"/>
        </w:rPr>
        <w:t>.</w:t>
      </w:r>
      <w:r w:rsidR="00B659A0">
        <w:rPr>
          <w:rFonts w:ascii="Verdana" w:hAnsi="Verdana"/>
        </w:rPr>
        <w:t xml:space="preserve"> Det resultat, der her vil blive anvendt er, at</w:t>
      </w:r>
      <w:r w:rsidR="00B659A0" w:rsidRPr="00F30990">
        <w:rPr>
          <w:rFonts w:ascii="Verdana" w:hAnsi="Verdana"/>
        </w:rPr>
        <w:t xml:space="preserve"> elever</w:t>
      </w:r>
      <w:r w:rsidR="00B659A0">
        <w:rPr>
          <w:rFonts w:ascii="Verdana" w:hAnsi="Verdana"/>
        </w:rPr>
        <w:t xml:space="preserve">, der har gået </w:t>
      </w:r>
      <w:r w:rsidR="00B659A0" w:rsidRPr="00F30990">
        <w:rPr>
          <w:rFonts w:ascii="Verdana" w:hAnsi="Verdana"/>
        </w:rPr>
        <w:t>fire år i mindre klasser</w:t>
      </w:r>
      <w:r w:rsidR="00B659A0">
        <w:rPr>
          <w:rFonts w:ascii="Verdana" w:hAnsi="Verdana"/>
        </w:rPr>
        <w:t xml:space="preserve">, </w:t>
      </w:r>
      <w:r w:rsidR="00B659A0" w:rsidRPr="00F30990">
        <w:rPr>
          <w:rFonts w:ascii="Verdana" w:hAnsi="Verdana"/>
        </w:rPr>
        <w:t>score</w:t>
      </w:r>
      <w:r w:rsidR="00B659A0">
        <w:rPr>
          <w:rFonts w:ascii="Verdana" w:hAnsi="Verdana"/>
        </w:rPr>
        <w:t xml:space="preserve">r </w:t>
      </w:r>
      <w:r w:rsidR="00B659A0" w:rsidRPr="00F30990">
        <w:rPr>
          <w:rFonts w:ascii="Verdana" w:hAnsi="Verdana"/>
        </w:rPr>
        <w:t>0,2 i standardafvigelse bedre end d</w:t>
      </w:r>
      <w:r w:rsidR="00B659A0">
        <w:rPr>
          <w:rFonts w:ascii="Verdana" w:hAnsi="Verdana"/>
        </w:rPr>
        <w:t xml:space="preserve">eres jævnaldrende i både regne- og læsetest. </w:t>
      </w:r>
    </w:p>
    <w:p w14:paraId="5FB50D3E" w14:textId="77777777" w:rsidR="00F30990" w:rsidRPr="00F30990" w:rsidRDefault="00F30990" w:rsidP="00F30990">
      <w:pPr>
        <w:pStyle w:val="NoSpacing"/>
        <w:rPr>
          <w:rFonts w:ascii="Verdana" w:hAnsi="Verdana"/>
        </w:rPr>
      </w:pPr>
    </w:p>
    <w:p w14:paraId="0AC366D1" w14:textId="79A6EE84" w:rsidR="0063541E" w:rsidRDefault="00607A81" w:rsidP="00F30990">
      <w:pPr>
        <w:pStyle w:val="NoSpacing"/>
        <w:rPr>
          <w:rFonts w:ascii="Verdana" w:hAnsi="Verdana"/>
        </w:rPr>
      </w:pPr>
      <w:r>
        <w:rPr>
          <w:rFonts w:ascii="Verdana" w:hAnsi="Verdana"/>
        </w:rPr>
        <w:t>Nærværende</w:t>
      </w:r>
      <w:r w:rsidRPr="00F30990">
        <w:rPr>
          <w:rFonts w:ascii="Verdana" w:hAnsi="Verdana"/>
        </w:rPr>
        <w:t xml:space="preserve"> </w:t>
      </w:r>
      <w:r w:rsidR="00F51725" w:rsidRPr="00F30990">
        <w:rPr>
          <w:rFonts w:ascii="Verdana" w:hAnsi="Verdana"/>
        </w:rPr>
        <w:t>eksperiment er</w:t>
      </w:r>
      <w:r w:rsidR="009A2552">
        <w:rPr>
          <w:rFonts w:ascii="Verdana" w:hAnsi="Verdana"/>
        </w:rPr>
        <w:t>,</w:t>
      </w:r>
      <w:r w:rsidR="00F51725" w:rsidRPr="00F30990">
        <w:rPr>
          <w:rFonts w:ascii="Verdana" w:hAnsi="Verdana"/>
        </w:rPr>
        <w:t xml:space="preserve"> som nævnt</w:t>
      </w:r>
      <w:r w:rsidR="009A2552">
        <w:rPr>
          <w:rFonts w:ascii="Verdana" w:hAnsi="Verdana"/>
        </w:rPr>
        <w:t>,</w:t>
      </w:r>
      <w:r w:rsidR="00F51725" w:rsidRPr="00F30990">
        <w:rPr>
          <w:rFonts w:ascii="Verdana" w:hAnsi="Verdana"/>
        </w:rPr>
        <w:t xml:space="preserve"> mindre vidtgående</w:t>
      </w:r>
      <w:r w:rsidR="00A34E66">
        <w:rPr>
          <w:rFonts w:ascii="Verdana" w:hAnsi="Verdana"/>
        </w:rPr>
        <w:t xml:space="preserve">, end det </w:t>
      </w:r>
      <w:proofErr w:type="spellStart"/>
      <w:r w:rsidR="00A34E66">
        <w:rPr>
          <w:rFonts w:ascii="Verdana" w:hAnsi="Verdana"/>
        </w:rPr>
        <w:t>Krueger</w:t>
      </w:r>
      <w:proofErr w:type="spellEnd"/>
      <w:r w:rsidR="00A34E66">
        <w:rPr>
          <w:rFonts w:ascii="Verdana" w:hAnsi="Verdana"/>
        </w:rPr>
        <w:t xml:space="preserve"> undersøger</w:t>
      </w:r>
      <w:r w:rsidR="00CD53E3">
        <w:rPr>
          <w:rFonts w:ascii="Verdana" w:hAnsi="Verdana"/>
        </w:rPr>
        <w:t xml:space="preserve">, og derfor er der ikke et problem i at overføre resultaterne, da evt. </w:t>
      </w:r>
      <w:r w:rsidR="00CD53E3">
        <w:rPr>
          <w:rFonts w:ascii="Verdana" w:hAnsi="Verdana"/>
        </w:rPr>
        <w:lastRenderedPageBreak/>
        <w:t>marginal aftagende effekt ved ekstreme reduktioner af klassekvotienten ikke er aktuelle i indeværende beregning</w:t>
      </w:r>
      <w:r w:rsidR="00A34E66">
        <w:rPr>
          <w:rFonts w:ascii="Verdana" w:hAnsi="Verdana"/>
        </w:rPr>
        <w:t xml:space="preserve">. Der </w:t>
      </w:r>
      <w:r w:rsidR="00F51725" w:rsidRPr="00F30990">
        <w:rPr>
          <w:rFonts w:ascii="Verdana" w:hAnsi="Verdana"/>
        </w:rPr>
        <w:t xml:space="preserve">analyseres et langt mindre fald i klassekvotienten end i STAR-eksperimentet. Her satte man klassekvotienten ned med 7/22=32 pct., mens vi i vores eksperiment kun sænker </w:t>
      </w:r>
      <w:r w:rsidR="00E54F32" w:rsidRPr="00F30990">
        <w:rPr>
          <w:rFonts w:ascii="Verdana" w:hAnsi="Verdana"/>
        </w:rPr>
        <w:t>klasse</w:t>
      </w:r>
      <w:r w:rsidR="00F51725" w:rsidRPr="00F30990">
        <w:rPr>
          <w:rFonts w:ascii="Verdana" w:hAnsi="Verdana"/>
        </w:rPr>
        <w:t xml:space="preserve">kvotienten med 10 pct. </w:t>
      </w:r>
      <w:r w:rsidR="0063541E" w:rsidRPr="00F30990">
        <w:rPr>
          <w:rFonts w:ascii="Verdana" w:hAnsi="Verdana"/>
        </w:rPr>
        <w:t>D</w:t>
      </w:r>
      <w:r w:rsidR="00F51725" w:rsidRPr="00F30990">
        <w:rPr>
          <w:rFonts w:ascii="Verdana" w:hAnsi="Verdana"/>
        </w:rPr>
        <w:t xml:space="preserve">og ønsker </w:t>
      </w:r>
      <w:r w:rsidR="0063541E" w:rsidRPr="00F30990">
        <w:rPr>
          <w:rFonts w:ascii="Verdana" w:hAnsi="Verdana"/>
        </w:rPr>
        <w:t xml:space="preserve">vi i dette eksperiment </w:t>
      </w:r>
      <w:r w:rsidR="00F51725" w:rsidRPr="00F30990">
        <w:rPr>
          <w:rFonts w:ascii="Verdana" w:hAnsi="Verdana"/>
        </w:rPr>
        <w:t>at sænke klassekvotienten for alle 10 klassetrin (0.-9. klasse)</w:t>
      </w:r>
      <w:r w:rsidR="0063541E" w:rsidRPr="00F30990">
        <w:rPr>
          <w:rFonts w:ascii="Verdana" w:hAnsi="Verdana"/>
        </w:rPr>
        <w:t>, mens STAR projektet kun gjorde det for de 4 første klassetrin</w:t>
      </w:r>
      <w:r w:rsidR="00F51725" w:rsidRPr="00F30990">
        <w:rPr>
          <w:rFonts w:ascii="Verdana" w:hAnsi="Verdana"/>
        </w:rPr>
        <w:t xml:space="preserve">. </w:t>
      </w:r>
      <w:r w:rsidR="00A34E66">
        <w:rPr>
          <w:rFonts w:ascii="Verdana" w:hAnsi="Verdana"/>
        </w:rPr>
        <w:t>I det følgende vil det blive antaget, at</w:t>
      </w:r>
      <w:r w:rsidR="00F51725" w:rsidRPr="00F30990">
        <w:rPr>
          <w:rFonts w:ascii="Verdana" w:hAnsi="Verdana"/>
        </w:rPr>
        <w:t xml:space="preserve"> effekten </w:t>
      </w:r>
      <w:r w:rsidR="00A34E66">
        <w:rPr>
          <w:rFonts w:ascii="Verdana" w:hAnsi="Verdana"/>
        </w:rPr>
        <w:t xml:space="preserve">af </w:t>
      </w:r>
      <w:r w:rsidR="009A2552">
        <w:rPr>
          <w:rFonts w:ascii="Verdana" w:hAnsi="Verdana"/>
        </w:rPr>
        <w:t xml:space="preserve">en </w:t>
      </w:r>
      <w:r w:rsidR="00A34E66">
        <w:rPr>
          <w:rFonts w:ascii="Verdana" w:hAnsi="Verdana"/>
        </w:rPr>
        <w:t xml:space="preserve">sænket klassekvotient </w:t>
      </w:r>
      <w:r w:rsidR="00F51725" w:rsidRPr="00F30990">
        <w:rPr>
          <w:rFonts w:ascii="Verdana" w:hAnsi="Verdana"/>
        </w:rPr>
        <w:t>er ens uanset klassetrin</w:t>
      </w:r>
      <w:r w:rsidR="00A34E66">
        <w:rPr>
          <w:rFonts w:ascii="Verdana" w:hAnsi="Verdana"/>
        </w:rPr>
        <w:t>. Der er en risiko for, at denne antagelse overvurderer effekterne, men samlet set vurderes opregningen fortsat at være et underkantsskøn</w:t>
      </w:r>
      <w:r w:rsidR="009A2552">
        <w:rPr>
          <w:rFonts w:ascii="Verdana" w:hAnsi="Verdana"/>
        </w:rPr>
        <w:t>,</w:t>
      </w:r>
      <w:r w:rsidR="00A34E66">
        <w:rPr>
          <w:rFonts w:ascii="Verdana" w:hAnsi="Verdana"/>
        </w:rPr>
        <w:t xml:space="preserve"> idet </w:t>
      </w:r>
      <w:proofErr w:type="spellStart"/>
      <w:r w:rsidR="00B659A0">
        <w:rPr>
          <w:rFonts w:ascii="Verdana" w:hAnsi="Verdana"/>
        </w:rPr>
        <w:t>Kr</w:t>
      </w:r>
      <w:r w:rsidR="0046376D">
        <w:rPr>
          <w:rFonts w:ascii="Verdana" w:hAnsi="Verdana"/>
        </w:rPr>
        <w:t>u</w:t>
      </w:r>
      <w:r w:rsidR="00B659A0">
        <w:rPr>
          <w:rFonts w:ascii="Verdana" w:hAnsi="Verdana"/>
        </w:rPr>
        <w:t>eger</w:t>
      </w:r>
      <w:proofErr w:type="spellEnd"/>
      <w:r w:rsidR="00B659A0">
        <w:rPr>
          <w:rFonts w:ascii="Verdana" w:hAnsi="Verdana"/>
        </w:rPr>
        <w:t xml:space="preserve"> alene har foretaget </w:t>
      </w:r>
      <w:proofErr w:type="spellStart"/>
      <w:r w:rsidR="00B659A0">
        <w:rPr>
          <w:rFonts w:ascii="Verdana" w:hAnsi="Verdana"/>
        </w:rPr>
        <w:t>estimation</w:t>
      </w:r>
      <w:proofErr w:type="spellEnd"/>
      <w:r w:rsidR="00B659A0">
        <w:rPr>
          <w:rFonts w:ascii="Verdana" w:hAnsi="Verdana"/>
        </w:rPr>
        <w:t xml:space="preserve"> af </w:t>
      </w:r>
      <w:proofErr w:type="spellStart"/>
      <w:r w:rsidR="00B659A0">
        <w:rPr>
          <w:rFonts w:ascii="Verdana" w:hAnsi="Verdana"/>
        </w:rPr>
        <w:t>egeneffekten</w:t>
      </w:r>
      <w:proofErr w:type="spellEnd"/>
      <w:r w:rsidR="00B659A0">
        <w:rPr>
          <w:rFonts w:ascii="Verdana" w:hAnsi="Verdana"/>
        </w:rPr>
        <w:t>.</w:t>
      </w:r>
      <w:r w:rsidR="003B439E">
        <w:rPr>
          <w:rFonts w:ascii="Verdana" w:hAnsi="Verdana"/>
        </w:rPr>
        <w:t xml:space="preserve"> Baseret på disse simple antagelser, </w:t>
      </w:r>
      <w:r w:rsidR="00F51725" w:rsidRPr="00F30990">
        <w:rPr>
          <w:rFonts w:ascii="Verdana" w:hAnsi="Verdana"/>
        </w:rPr>
        <w:t xml:space="preserve">kan vi forvente følgende effekt til testresultaterne: </w:t>
      </w:r>
    </w:p>
    <w:p w14:paraId="054C1D4C" w14:textId="77777777" w:rsidR="00F30990" w:rsidRPr="00F30990" w:rsidRDefault="00F30990" w:rsidP="00F30990">
      <w:pPr>
        <w:pStyle w:val="NoSpacing"/>
        <w:rPr>
          <w:rFonts w:ascii="Verdana" w:hAnsi="Verdana"/>
        </w:rPr>
      </w:pPr>
    </w:p>
    <w:p w14:paraId="540C9705" w14:textId="77777777" w:rsidR="00F51725" w:rsidRPr="00F30990" w:rsidRDefault="00F51725" w:rsidP="00F30990">
      <w:pPr>
        <w:pStyle w:val="NoSpacing"/>
        <w:numPr>
          <w:ilvl w:val="0"/>
          <w:numId w:val="13"/>
        </w:numPr>
        <w:rPr>
          <w:rFonts w:ascii="Verdana" w:hAnsi="Verdana"/>
        </w:rPr>
      </w:pPr>
      <w:r w:rsidRPr="00F30990">
        <w:rPr>
          <w:rFonts w:ascii="Verdana" w:hAnsi="Verdana"/>
        </w:rPr>
        <w:t>0,2/</w:t>
      </w:r>
      <w:r w:rsidR="0063541E" w:rsidRPr="00F30990">
        <w:rPr>
          <w:rFonts w:ascii="Verdana" w:hAnsi="Verdana"/>
        </w:rPr>
        <w:t xml:space="preserve">3 = </w:t>
      </w:r>
      <w:r w:rsidR="0063541E" w:rsidRPr="00F30990">
        <w:rPr>
          <w:rFonts w:ascii="Verdana" w:hAnsi="Verdana"/>
          <w:u w:val="single"/>
        </w:rPr>
        <w:t>0,07</w:t>
      </w:r>
      <w:r w:rsidR="0063541E" w:rsidRPr="00F30990">
        <w:rPr>
          <w:rFonts w:ascii="Verdana" w:hAnsi="Verdana"/>
        </w:rPr>
        <w:t xml:space="preserve"> (vi reducerer effekten med 2/3, da vi kun mindsker klassekvotienten hvad der svarer til 10 pct. i stedet for ca. 30 pct., som man gjorde i STAR-eksperimentet)</w:t>
      </w:r>
    </w:p>
    <w:p w14:paraId="020A6D51" w14:textId="77777777" w:rsidR="0063541E" w:rsidRDefault="0063541E" w:rsidP="00F30990">
      <w:pPr>
        <w:pStyle w:val="NoSpacing"/>
        <w:numPr>
          <w:ilvl w:val="0"/>
          <w:numId w:val="13"/>
        </w:numPr>
        <w:rPr>
          <w:rFonts w:ascii="Verdana" w:hAnsi="Verdana"/>
        </w:rPr>
      </w:pPr>
      <w:r w:rsidRPr="00F30990">
        <w:rPr>
          <w:rFonts w:ascii="Verdana" w:hAnsi="Verdana"/>
        </w:rPr>
        <w:t xml:space="preserve">0,07/4*10 = </w:t>
      </w:r>
      <w:r w:rsidRPr="00F30990">
        <w:rPr>
          <w:rFonts w:ascii="Verdana" w:hAnsi="Verdana"/>
          <w:u w:val="single"/>
        </w:rPr>
        <w:t xml:space="preserve">0,17 </w:t>
      </w:r>
      <w:r w:rsidRPr="00F30990">
        <w:rPr>
          <w:rFonts w:ascii="Verdana" w:hAnsi="Verdana"/>
        </w:rPr>
        <w:t>(vi ganger effekten op med det antal år, som klassekvotienten er sænket).</w:t>
      </w:r>
    </w:p>
    <w:p w14:paraId="65106F60" w14:textId="77777777" w:rsidR="00F30990" w:rsidRPr="00F30990" w:rsidRDefault="00F30990" w:rsidP="00F30990">
      <w:pPr>
        <w:pStyle w:val="NoSpacing"/>
        <w:ind w:left="720"/>
        <w:rPr>
          <w:rFonts w:ascii="Verdana" w:hAnsi="Verdana"/>
        </w:rPr>
      </w:pPr>
    </w:p>
    <w:p w14:paraId="428DA37F" w14:textId="5A3822FB" w:rsidR="0063541E" w:rsidRPr="00B80D13" w:rsidRDefault="00112831" w:rsidP="003B439E">
      <w:pPr>
        <w:pStyle w:val="NoSpacing"/>
        <w:rPr>
          <w:rFonts w:ascii="Verdana" w:hAnsi="Verdana"/>
        </w:rPr>
      </w:pPr>
      <w:r w:rsidRPr="00B80D13">
        <w:rPr>
          <w:rFonts w:ascii="Verdana" w:hAnsi="Verdana"/>
        </w:rPr>
        <w:t>Fortolkningen er derved, at en elev, der</w:t>
      </w:r>
      <w:r w:rsidR="006965D5">
        <w:rPr>
          <w:rFonts w:ascii="Verdana" w:hAnsi="Verdana"/>
        </w:rPr>
        <w:t xml:space="preserve"> går i en klasse med den 10 procentpoint</w:t>
      </w:r>
      <w:r w:rsidRPr="00B80D13">
        <w:rPr>
          <w:rFonts w:ascii="Verdana" w:hAnsi="Verdana"/>
        </w:rPr>
        <w:t xml:space="preserve"> lavere </w:t>
      </w:r>
      <w:proofErr w:type="gramStart"/>
      <w:r w:rsidRPr="00B80D13">
        <w:rPr>
          <w:rFonts w:ascii="Verdana" w:hAnsi="Verdana"/>
        </w:rPr>
        <w:t>klassekvotient  forventes</w:t>
      </w:r>
      <w:proofErr w:type="gramEnd"/>
      <w:r w:rsidRPr="00B80D13">
        <w:rPr>
          <w:rFonts w:ascii="Verdana" w:hAnsi="Verdana"/>
        </w:rPr>
        <w:t xml:space="preserve"> at få en testscore i matematik og læsning, som er 0,17 standardafvigelse højere end elever med den nuværende klassekvotient. Tages der udgangspunkt i samme løn-beregning som </w:t>
      </w:r>
      <w:proofErr w:type="spellStart"/>
      <w:r w:rsidRPr="00B80D13">
        <w:rPr>
          <w:rFonts w:ascii="Verdana" w:hAnsi="Verdana"/>
        </w:rPr>
        <w:t>Krueger</w:t>
      </w:r>
      <w:proofErr w:type="spellEnd"/>
      <w:r w:rsidRPr="00B80D13">
        <w:rPr>
          <w:rFonts w:ascii="Verdana" w:hAnsi="Verdana"/>
        </w:rPr>
        <w:t xml:space="preserve"> anvender, svarer dette til, at </w:t>
      </w:r>
      <w:r w:rsidR="003B439E" w:rsidRPr="00B80D13">
        <w:rPr>
          <w:rFonts w:ascii="Verdana" w:hAnsi="Verdana"/>
        </w:rPr>
        <w:t>en elev, der har gået i en klasse, med 10 pct. lavere klassekvotient</w:t>
      </w:r>
      <w:r w:rsidRPr="00B80D13">
        <w:rPr>
          <w:rFonts w:ascii="Verdana" w:hAnsi="Verdana"/>
        </w:rPr>
        <w:t xml:space="preserve"> vil få 0,17*8 = 1,33 pct. højere løn gennem hele livet. Under standardantagelsen, at alle på arbejdsmarkedet får en løn, der præcis afspejler den værdi, som de hver især har for den virksomhed, hvori de er ansat, svarer dette til en 1,33 pct. højere produktivitet.</w:t>
      </w:r>
    </w:p>
    <w:p w14:paraId="4EC62603" w14:textId="77777777" w:rsidR="003B439E" w:rsidRPr="003B439E" w:rsidRDefault="003B439E" w:rsidP="003B439E">
      <w:pPr>
        <w:pStyle w:val="NoSpacing"/>
        <w:rPr>
          <w:rFonts w:ascii="Verdana" w:hAnsi="Verdana"/>
        </w:rPr>
      </w:pPr>
    </w:p>
    <w:p w14:paraId="4E5A4FDD" w14:textId="5537AD81" w:rsidR="00DA2434" w:rsidRDefault="00480AC3" w:rsidP="003B439E">
      <w:pPr>
        <w:pStyle w:val="NoSpacing"/>
        <w:rPr>
          <w:rFonts w:ascii="Verdana" w:hAnsi="Verdana"/>
        </w:rPr>
      </w:pPr>
      <w:r>
        <w:rPr>
          <w:rFonts w:ascii="Verdana" w:hAnsi="Verdana"/>
        </w:rPr>
        <w:t xml:space="preserve">I et scenarium, hvor samtlige generationer på arbejdsmarkedet har gået i en klasse med 10 pct. lavere </w:t>
      </w:r>
      <w:r w:rsidR="00112831" w:rsidRPr="003B439E">
        <w:rPr>
          <w:rFonts w:ascii="Verdana" w:hAnsi="Verdana"/>
        </w:rPr>
        <w:t>kl</w:t>
      </w:r>
      <w:r w:rsidR="001E7D25" w:rsidRPr="003B439E">
        <w:rPr>
          <w:rFonts w:ascii="Verdana" w:hAnsi="Verdana"/>
        </w:rPr>
        <w:t xml:space="preserve">assekvotienten </w:t>
      </w:r>
      <w:r>
        <w:rPr>
          <w:rFonts w:ascii="Verdana" w:hAnsi="Verdana"/>
        </w:rPr>
        <w:t>end</w:t>
      </w:r>
      <w:r w:rsidR="00DA2434">
        <w:rPr>
          <w:rFonts w:ascii="Verdana" w:hAnsi="Verdana"/>
        </w:rPr>
        <w:t xml:space="preserve"> tilfældet er i dag, svarer dette til, at samfundet vil have 1,33 pct. højere</w:t>
      </w:r>
      <w:r w:rsidR="00B659A0">
        <w:rPr>
          <w:rFonts w:ascii="Verdana" w:hAnsi="Verdana"/>
        </w:rPr>
        <w:t xml:space="preserve"> timeproduktivitet</w:t>
      </w:r>
      <w:r w:rsidR="00DA2434">
        <w:rPr>
          <w:rFonts w:ascii="Verdana" w:hAnsi="Verdana"/>
        </w:rPr>
        <w:t>.</w:t>
      </w:r>
    </w:p>
    <w:p w14:paraId="5034867F" w14:textId="77777777" w:rsidR="00D32F92" w:rsidRDefault="00D32F92" w:rsidP="003B439E">
      <w:pPr>
        <w:pStyle w:val="NoSpacing"/>
        <w:rPr>
          <w:rFonts w:ascii="Verdana" w:hAnsi="Verdana"/>
        </w:rPr>
      </w:pPr>
    </w:p>
    <w:p w14:paraId="751639C6" w14:textId="3544BBBE" w:rsidR="00D4159F" w:rsidRDefault="00D32F92" w:rsidP="003B439E">
      <w:pPr>
        <w:pStyle w:val="NoSpacing"/>
        <w:rPr>
          <w:rFonts w:ascii="Verdana" w:hAnsi="Verdana"/>
        </w:rPr>
      </w:pPr>
      <w:r>
        <w:rPr>
          <w:rFonts w:ascii="Verdana" w:hAnsi="Verdana"/>
        </w:rPr>
        <w:t xml:space="preserve">Ligeledes svarer dette til, at der permanent </w:t>
      </w:r>
      <w:r w:rsidR="001610EA">
        <w:rPr>
          <w:rFonts w:ascii="Verdana" w:hAnsi="Verdana"/>
        </w:rPr>
        <w:t>skulle være beskæftige</w:t>
      </w:r>
      <w:r w:rsidR="00B659A0">
        <w:rPr>
          <w:rFonts w:ascii="Verdana" w:hAnsi="Verdana"/>
        </w:rPr>
        <w:t>t</w:t>
      </w:r>
      <w:r w:rsidR="001610EA">
        <w:rPr>
          <w:rFonts w:ascii="Verdana" w:hAnsi="Verdana"/>
        </w:rPr>
        <w:t xml:space="preserve"> 5.</w:t>
      </w:r>
      <w:r w:rsidR="00CD53E3">
        <w:rPr>
          <w:rFonts w:ascii="Verdana" w:hAnsi="Verdana"/>
        </w:rPr>
        <w:t xml:space="preserve">300 </w:t>
      </w:r>
      <w:r w:rsidR="001610EA">
        <w:rPr>
          <w:rFonts w:ascii="Verdana" w:hAnsi="Verdana"/>
        </w:rPr>
        <w:t>flere lærere i folkeskolen sammenlignet med i dag. I dette simple regnestykke</w:t>
      </w:r>
      <w:r w:rsidR="00C527D6">
        <w:rPr>
          <w:rFonts w:ascii="Verdana" w:hAnsi="Verdana"/>
        </w:rPr>
        <w:t xml:space="preserve"> antages årgangenes størrelse a</w:t>
      </w:r>
      <w:r w:rsidR="009A2552">
        <w:rPr>
          <w:rFonts w:ascii="Verdana" w:hAnsi="Verdana"/>
        </w:rPr>
        <w:t>t</w:t>
      </w:r>
      <w:r w:rsidR="00C527D6">
        <w:rPr>
          <w:rFonts w:ascii="Verdana" w:hAnsi="Verdana"/>
        </w:rPr>
        <w:t xml:space="preserve"> stabilisere sig omkring 69.000</w:t>
      </w:r>
      <w:r w:rsidR="002D2AB6">
        <w:rPr>
          <w:rFonts w:ascii="Verdana" w:hAnsi="Verdana"/>
        </w:rPr>
        <w:t>, hvilket er en anelse over niveauet i 2015 (67.000), men er det gennemsnitlige niveau for årgangene 6-16 år i den seneste befolkningsfremskrivning frem til 2060</w:t>
      </w:r>
      <w:r w:rsidR="00EB1463">
        <w:rPr>
          <w:rFonts w:ascii="Verdana" w:hAnsi="Verdana"/>
        </w:rPr>
        <w:t xml:space="preserve"> (se hhv. tabel </w:t>
      </w:r>
      <w:r w:rsidR="00EB1463" w:rsidRPr="00EB1463">
        <w:rPr>
          <w:rFonts w:ascii="Verdana" w:hAnsi="Verdana"/>
        </w:rPr>
        <w:t>FRDK117</w:t>
      </w:r>
      <w:r w:rsidR="00EB1463">
        <w:rPr>
          <w:rFonts w:ascii="Verdana" w:hAnsi="Verdana"/>
        </w:rPr>
        <w:t xml:space="preserve"> og FOLK2 på statistikbanken.dk)</w:t>
      </w:r>
      <w:r w:rsidR="002D2AB6">
        <w:rPr>
          <w:rFonts w:ascii="Verdana" w:hAnsi="Verdana"/>
        </w:rPr>
        <w:t>.</w:t>
      </w:r>
    </w:p>
    <w:p w14:paraId="5BFFE171" w14:textId="77777777" w:rsidR="006759E9" w:rsidRDefault="006759E9" w:rsidP="003B439E">
      <w:pPr>
        <w:pStyle w:val="NoSpacing"/>
        <w:rPr>
          <w:rFonts w:ascii="Verdana" w:hAnsi="Verdana"/>
        </w:rPr>
      </w:pPr>
    </w:p>
    <w:p w14:paraId="475ADC73" w14:textId="22A780A5" w:rsidR="00C25156" w:rsidRPr="00F7352C" w:rsidRDefault="006759E9" w:rsidP="006759E9">
      <w:pPr>
        <w:spacing w:line="256" w:lineRule="auto"/>
        <w:rPr>
          <w:rFonts w:ascii="Verdana" w:eastAsiaTheme="minorEastAsia" w:hAnsi="Verdana"/>
          <w:iCs/>
        </w:rPr>
      </w:pPr>
      <w:r w:rsidRPr="00D733DC">
        <w:rPr>
          <w:rFonts w:ascii="Verdana" w:eastAsiaTheme="minorEastAsia" w:hAnsi="Verdana"/>
          <w:b/>
          <w:iCs/>
        </w:rPr>
        <w:t>Resultatet er</w:t>
      </w:r>
      <w:r>
        <w:rPr>
          <w:rFonts w:ascii="Verdana" w:eastAsiaTheme="minorEastAsia" w:hAnsi="Verdana"/>
          <w:iCs/>
        </w:rPr>
        <w:t xml:space="preserve">, at arbejdskraftens produktivitet forøges med 1,33 pct. Det svarer til, at der kan produceres 1,33 pct. mere med det samme antal arbejdstimer. I 2018 skønnes Danmarks BNP, ifølge Finansministeriet til at blive på 2.025 mia. kroner i kædede 2010-værdier. Under antagelse af konstant arbejdsindsats ville en forøgelse af produktiviteten med 1,33 pct. svare til, at </w:t>
      </w:r>
      <w:r>
        <w:rPr>
          <w:rFonts w:ascii="Verdana" w:eastAsiaTheme="minorEastAsia" w:hAnsi="Verdana"/>
          <w:iCs/>
        </w:rPr>
        <w:lastRenderedPageBreak/>
        <w:t>BNP i 2018 ville være ca. 2.052 mia. kroner, hvilket er ca. 27 mia. mere end tilfældet er i dag</w:t>
      </w:r>
      <w:r w:rsidR="000C0800">
        <w:rPr>
          <w:rStyle w:val="FootnoteReference"/>
          <w:rFonts w:ascii="Verdana" w:eastAsiaTheme="minorEastAsia" w:hAnsi="Verdana"/>
          <w:iCs/>
        </w:rPr>
        <w:footnoteReference w:id="3"/>
      </w:r>
      <w:r>
        <w:rPr>
          <w:rFonts w:ascii="Verdana" w:eastAsiaTheme="minorEastAsia" w:hAnsi="Verdana"/>
          <w:iCs/>
        </w:rPr>
        <w:t>. Dette giver en fornemmelse af, hvor stor en velstandsgevinst der vil være forbundet med at sæn</w:t>
      </w:r>
      <w:r w:rsidR="000C014B">
        <w:rPr>
          <w:rFonts w:ascii="Verdana" w:eastAsiaTheme="minorEastAsia" w:hAnsi="Verdana"/>
          <w:iCs/>
        </w:rPr>
        <w:t>ke klassekvotienten med 10 pct.</w:t>
      </w:r>
    </w:p>
    <w:p w14:paraId="5CCDBA41" w14:textId="77777777" w:rsidR="004908F2" w:rsidRDefault="004908F2" w:rsidP="003E608C">
      <w:pPr>
        <w:pStyle w:val="Heading3"/>
      </w:pPr>
    </w:p>
    <w:p w14:paraId="6E86262B" w14:textId="77777777" w:rsidR="00724202" w:rsidRPr="003B439E" w:rsidRDefault="00724202" w:rsidP="003E608C">
      <w:pPr>
        <w:pStyle w:val="Heading3"/>
      </w:pPr>
      <w:r w:rsidRPr="003B439E">
        <w:t>Uddannelseskvantitet</w:t>
      </w:r>
    </w:p>
    <w:p w14:paraId="57F77571" w14:textId="4FDDFC83" w:rsidR="0081038D" w:rsidRPr="0081038D" w:rsidRDefault="00914E8D" w:rsidP="00D77032">
      <w:pPr>
        <w:pStyle w:val="NoSpacing"/>
        <w:rPr>
          <w:rFonts w:ascii="Verdana" w:hAnsi="Verdana"/>
          <w:i/>
        </w:rPr>
      </w:pPr>
      <w:r>
        <w:rPr>
          <w:rFonts w:ascii="Verdana" w:hAnsi="Verdana"/>
        </w:rPr>
        <w:t>Den følgende opregning af produktivitetseffekten af ændrede bevillingsstørrelser på de videregående uddannelser</w:t>
      </w:r>
      <w:r w:rsidR="00B965B5">
        <w:rPr>
          <w:rFonts w:ascii="Verdana" w:hAnsi="Verdana"/>
        </w:rPr>
        <w:t xml:space="preserve"> begrænses</w:t>
      </w:r>
      <w:r w:rsidR="00B87EB2">
        <w:rPr>
          <w:rFonts w:ascii="Verdana" w:hAnsi="Verdana"/>
        </w:rPr>
        <w:t xml:space="preserve"> således, at der alene ses på</w:t>
      </w:r>
      <w:r w:rsidR="008741DB">
        <w:rPr>
          <w:rFonts w:ascii="Verdana" w:hAnsi="Verdana"/>
        </w:rPr>
        <w:t xml:space="preserve"> universitetsuddannelser</w:t>
      </w:r>
      <w:r w:rsidR="00B21F76">
        <w:rPr>
          <w:rFonts w:ascii="Verdana" w:hAnsi="Verdana"/>
        </w:rPr>
        <w:t xml:space="preserve">. </w:t>
      </w:r>
      <w:r w:rsidR="00B87EB2">
        <w:rPr>
          <w:rFonts w:ascii="Verdana" w:hAnsi="Verdana"/>
        </w:rPr>
        <w:t xml:space="preserve">Igen foretages beregningen på baggrund af en række stilistiske antagelser. </w:t>
      </w:r>
      <w:r w:rsidR="007D6414">
        <w:rPr>
          <w:rFonts w:ascii="Verdana" w:hAnsi="Verdana"/>
        </w:rPr>
        <w:t>Det</w:t>
      </w:r>
      <w:r w:rsidR="004C563F">
        <w:rPr>
          <w:rFonts w:ascii="Verdana" w:hAnsi="Verdana"/>
        </w:rPr>
        <w:t xml:space="preserve"> antages, at omkostningen pr. studerende fastholdes – uanset bevillingsniveau. Dette er ikke en realistisk antagelse i et scenari</w:t>
      </w:r>
      <w:r w:rsidR="00B659A0">
        <w:rPr>
          <w:rFonts w:ascii="Verdana" w:hAnsi="Verdana"/>
        </w:rPr>
        <w:t>e</w:t>
      </w:r>
      <w:r w:rsidR="004C563F">
        <w:rPr>
          <w:rFonts w:ascii="Verdana" w:hAnsi="Verdana"/>
        </w:rPr>
        <w:t xml:space="preserve">, hvor politikerne justerer bevillingen via ændringer i de elevafhængige taxametre, hvilket i et vist </w:t>
      </w:r>
      <w:r w:rsidR="00B21992">
        <w:rPr>
          <w:rFonts w:ascii="Verdana" w:hAnsi="Verdana"/>
        </w:rPr>
        <w:t>omfang har været tilfældet</w:t>
      </w:r>
      <w:r w:rsidR="004C563F">
        <w:rPr>
          <w:rFonts w:ascii="Verdana" w:hAnsi="Verdana"/>
        </w:rPr>
        <w:t xml:space="preserve"> frem til i dag. </w:t>
      </w:r>
    </w:p>
    <w:p w14:paraId="4B61494A" w14:textId="77777777" w:rsidR="0081038D" w:rsidRDefault="0081038D" w:rsidP="003B439E">
      <w:pPr>
        <w:pStyle w:val="NoSpacing"/>
        <w:rPr>
          <w:rFonts w:ascii="Verdana" w:hAnsi="Verdana"/>
        </w:rPr>
      </w:pPr>
    </w:p>
    <w:p w14:paraId="4D574B81" w14:textId="751EB189" w:rsidR="00DC4E62" w:rsidRDefault="00D77032" w:rsidP="00F574D0">
      <w:pPr>
        <w:pStyle w:val="NoSpacing"/>
        <w:rPr>
          <w:rFonts w:ascii="Verdana" w:hAnsi="Verdana"/>
        </w:rPr>
      </w:pPr>
      <w:r>
        <w:rPr>
          <w:rFonts w:ascii="Verdana" w:hAnsi="Verdana"/>
        </w:rPr>
        <w:t xml:space="preserve">Alligevel er antagelsen </w:t>
      </w:r>
      <w:r w:rsidR="009B59B2">
        <w:rPr>
          <w:rFonts w:ascii="Verdana" w:hAnsi="Verdana"/>
        </w:rPr>
        <w:t xml:space="preserve">et meningsfuldt </w:t>
      </w:r>
      <w:r>
        <w:rPr>
          <w:rFonts w:ascii="Verdana" w:hAnsi="Verdana"/>
        </w:rPr>
        <w:t>udgangspunkt for den følgende beregning</w:t>
      </w:r>
      <w:r w:rsidR="009B59B2">
        <w:rPr>
          <w:rFonts w:ascii="Verdana" w:hAnsi="Verdana"/>
        </w:rPr>
        <w:t xml:space="preserve">, da den repræsenterer en situation, hvor der fra politisk hold i langt højere grad styres </w:t>
      </w:r>
      <w:r w:rsidR="00B659A0">
        <w:rPr>
          <w:rFonts w:ascii="Verdana" w:hAnsi="Verdana"/>
        </w:rPr>
        <w:t>efter</w:t>
      </w:r>
      <w:r w:rsidR="00D733DC">
        <w:rPr>
          <w:rFonts w:ascii="Verdana" w:hAnsi="Verdana"/>
        </w:rPr>
        <w:t>,</w:t>
      </w:r>
      <w:r w:rsidR="00B659A0">
        <w:rPr>
          <w:rFonts w:ascii="Verdana" w:hAnsi="Verdana"/>
        </w:rPr>
        <w:t xml:space="preserve"> </w:t>
      </w:r>
      <w:r w:rsidR="009B59B2">
        <w:rPr>
          <w:rFonts w:ascii="Verdana" w:hAnsi="Verdana"/>
        </w:rPr>
        <w:t xml:space="preserve">hvor mange studerende der årligt skal uddannes. Netop sådan en situation er et realistisk </w:t>
      </w:r>
      <w:proofErr w:type="spellStart"/>
      <w:r w:rsidR="009B59B2">
        <w:rPr>
          <w:rFonts w:ascii="Verdana" w:hAnsi="Verdana"/>
        </w:rPr>
        <w:t>outcome</w:t>
      </w:r>
      <w:proofErr w:type="spellEnd"/>
      <w:r w:rsidR="009B59B2">
        <w:rPr>
          <w:rFonts w:ascii="Verdana" w:hAnsi="Verdana"/>
        </w:rPr>
        <w:t xml:space="preserve"> af de seneste udviklingstendenser på uddannelsesområdet, hvor blandt andet </w:t>
      </w:r>
      <w:r w:rsidR="00EC4463">
        <w:rPr>
          <w:rFonts w:ascii="Verdana" w:hAnsi="Verdana"/>
        </w:rPr>
        <w:t>regeringen</w:t>
      </w:r>
      <w:r w:rsidR="009B59B2">
        <w:rPr>
          <w:rFonts w:ascii="Verdana" w:hAnsi="Verdana"/>
        </w:rPr>
        <w:t>s</w:t>
      </w:r>
      <w:r w:rsidR="00EC4463">
        <w:rPr>
          <w:rFonts w:ascii="Verdana" w:hAnsi="Verdana"/>
        </w:rPr>
        <w:t xml:space="preserve"> igangsat</w:t>
      </w:r>
      <w:r w:rsidR="009B59B2">
        <w:rPr>
          <w:rFonts w:ascii="Verdana" w:hAnsi="Verdana"/>
        </w:rPr>
        <w:t>te</w:t>
      </w:r>
      <w:r w:rsidR="00EC4463">
        <w:rPr>
          <w:rFonts w:ascii="Verdana" w:hAnsi="Verdana"/>
        </w:rPr>
        <w:t xml:space="preserve"> </w:t>
      </w:r>
      <w:r w:rsidR="009B59B2">
        <w:rPr>
          <w:rFonts w:ascii="Verdana" w:hAnsi="Verdana"/>
        </w:rPr>
        <w:t>dimensionering</w:t>
      </w:r>
      <w:r w:rsidR="00EC4463">
        <w:rPr>
          <w:rFonts w:ascii="Verdana" w:hAnsi="Verdana"/>
        </w:rPr>
        <w:t xml:space="preserve"> af </w:t>
      </w:r>
      <w:r w:rsidR="00B46C21">
        <w:rPr>
          <w:rFonts w:ascii="Verdana" w:hAnsi="Verdana"/>
        </w:rPr>
        <w:t>en række vid</w:t>
      </w:r>
      <w:r w:rsidR="00D733DC">
        <w:rPr>
          <w:rFonts w:ascii="Verdana" w:hAnsi="Verdana"/>
        </w:rPr>
        <w:t>eregående uddannelser er det</w:t>
      </w:r>
      <w:r w:rsidR="00B46C21">
        <w:rPr>
          <w:rFonts w:ascii="Verdana" w:hAnsi="Verdana"/>
        </w:rPr>
        <w:t xml:space="preserve"> mest tydelige </w:t>
      </w:r>
      <w:r w:rsidR="0073647E">
        <w:rPr>
          <w:rFonts w:ascii="Verdana" w:hAnsi="Verdana"/>
        </w:rPr>
        <w:t xml:space="preserve">eksempel.  </w:t>
      </w:r>
      <w:r w:rsidR="00E91FA6">
        <w:rPr>
          <w:rFonts w:ascii="Verdana" w:hAnsi="Verdana"/>
        </w:rPr>
        <w:t>Ligeledes er det på et mere principielt niveau meningsfuldt at antage</w:t>
      </w:r>
      <w:r w:rsidR="009A2552">
        <w:rPr>
          <w:rFonts w:ascii="Verdana" w:hAnsi="Verdana"/>
        </w:rPr>
        <w:t>,</w:t>
      </w:r>
      <w:r w:rsidR="00E91FA6">
        <w:rPr>
          <w:rFonts w:ascii="Verdana" w:hAnsi="Verdana"/>
        </w:rPr>
        <w:t xml:space="preserve"> at</w:t>
      </w:r>
      <w:r w:rsidR="00D91F6D">
        <w:rPr>
          <w:rFonts w:ascii="Verdana" w:hAnsi="Verdana"/>
        </w:rPr>
        <w:t xml:space="preserve"> uddannelsesniveauet </w:t>
      </w:r>
      <w:r w:rsidR="00E91FA6">
        <w:rPr>
          <w:rFonts w:ascii="Verdana" w:hAnsi="Verdana"/>
        </w:rPr>
        <w:t xml:space="preserve">i et vist omfang er knyttet </w:t>
      </w:r>
      <w:r w:rsidR="00D91F6D">
        <w:rPr>
          <w:rFonts w:ascii="Verdana" w:hAnsi="Verdana"/>
        </w:rPr>
        <w:t>til de midl</w:t>
      </w:r>
      <w:r w:rsidR="00E91FA6">
        <w:rPr>
          <w:rFonts w:ascii="Verdana" w:hAnsi="Verdana"/>
        </w:rPr>
        <w:t xml:space="preserve">er, der anvendes til uddannelse. Var der ikke en sådan sammenhæng, kunne man i princippet skære på uddannelsesområdet, uden at dette ville have </w:t>
      </w:r>
      <w:r w:rsidR="006F627B">
        <w:rPr>
          <w:rFonts w:ascii="Verdana" w:hAnsi="Verdana"/>
        </w:rPr>
        <w:t xml:space="preserve">nogen negative konsekvenser for </w:t>
      </w:r>
      <w:r w:rsidR="00D91F6D">
        <w:rPr>
          <w:rFonts w:ascii="Verdana" w:hAnsi="Verdana"/>
        </w:rPr>
        <w:t>kvalitet, kvantitet eller andet. Det anser vi for urealistisk og nedenstående analyse er således et bud på en metode til at koble de gavnlige effekter af uddannelse til de midler der bruges på uddannelse</w:t>
      </w:r>
      <w:r w:rsidR="006F627B">
        <w:rPr>
          <w:rFonts w:ascii="Verdana" w:hAnsi="Verdana"/>
        </w:rPr>
        <w:t xml:space="preserve">. </w:t>
      </w:r>
    </w:p>
    <w:p w14:paraId="28F882D5" w14:textId="77777777" w:rsidR="009866E4" w:rsidRDefault="009866E4" w:rsidP="003B439E">
      <w:pPr>
        <w:pStyle w:val="NoSpacing"/>
        <w:rPr>
          <w:rFonts w:ascii="Verdana" w:hAnsi="Verdana"/>
        </w:rPr>
      </w:pPr>
    </w:p>
    <w:p w14:paraId="60BFFF97" w14:textId="0AACA076" w:rsidR="00B87EB2" w:rsidRDefault="00B21992" w:rsidP="003B439E">
      <w:pPr>
        <w:pStyle w:val="NoSpacing"/>
        <w:rPr>
          <w:rFonts w:ascii="Verdana" w:hAnsi="Verdana"/>
        </w:rPr>
      </w:pPr>
      <w:r>
        <w:rPr>
          <w:rFonts w:ascii="Verdana" w:hAnsi="Verdana"/>
        </w:rPr>
        <w:t xml:space="preserve">En antagelse om konstante omkostninger pr. studerende svarer til, at taxameterniveauerne fastholdes, men at optaget justeres på anden vis – eksempelvis via dimensionering eller anden formel indskrænkelse af det antal studerende, som hver enkelt uddannelse </w:t>
      </w:r>
      <w:r w:rsidR="00B659A0">
        <w:rPr>
          <w:rFonts w:ascii="Verdana" w:hAnsi="Verdana"/>
        </w:rPr>
        <w:t>optager.</w:t>
      </w:r>
    </w:p>
    <w:p w14:paraId="40BD385F" w14:textId="77777777" w:rsidR="00B21992" w:rsidRDefault="00B21992" w:rsidP="003B439E">
      <w:pPr>
        <w:pStyle w:val="NoSpacing"/>
        <w:rPr>
          <w:rFonts w:ascii="Verdana" w:hAnsi="Verdana"/>
        </w:rPr>
      </w:pPr>
    </w:p>
    <w:p w14:paraId="3F769458" w14:textId="577897EC" w:rsidR="00B17003" w:rsidRDefault="006F627B" w:rsidP="003B439E">
      <w:pPr>
        <w:pStyle w:val="NoSpacing"/>
        <w:rPr>
          <w:rFonts w:ascii="Verdana" w:hAnsi="Verdana"/>
        </w:rPr>
      </w:pPr>
      <w:r>
        <w:rPr>
          <w:rFonts w:ascii="Verdana" w:hAnsi="Verdana"/>
        </w:rPr>
        <w:t>Vi tager igen udgangspunkt i, at en ungdomsårgang består af 69.000</w:t>
      </w:r>
      <w:r w:rsidR="00452C50">
        <w:rPr>
          <w:rFonts w:ascii="Verdana" w:hAnsi="Verdana"/>
        </w:rPr>
        <w:t xml:space="preserve"> individer.</w:t>
      </w:r>
      <w:r w:rsidR="00EB1463">
        <w:rPr>
          <w:rFonts w:ascii="Verdana" w:hAnsi="Verdana"/>
        </w:rPr>
        <w:t xml:space="preserve"> Vores baseline-scenarium er den uddannelsesfordeling, </w:t>
      </w:r>
      <w:proofErr w:type="gramStart"/>
      <w:r w:rsidR="00EB1463">
        <w:rPr>
          <w:rFonts w:ascii="Verdana" w:hAnsi="Verdana"/>
        </w:rPr>
        <w:t>som  forventes</w:t>
      </w:r>
      <w:proofErr w:type="gramEnd"/>
      <w:r w:rsidR="00EB1463">
        <w:rPr>
          <w:rFonts w:ascii="Verdana" w:hAnsi="Verdana"/>
        </w:rPr>
        <w:t xml:space="preserve"> på baggrund af den seneste uddannelsesadfærd. Dette bliver årligt opgjort i den såkaldte profilmodel, so</w:t>
      </w:r>
      <w:r w:rsidR="00C11F0B">
        <w:rPr>
          <w:rFonts w:ascii="Verdana" w:hAnsi="Verdana"/>
        </w:rPr>
        <w:t>m er udarbejdet og vedligehold</w:t>
      </w:r>
      <w:r w:rsidR="003B06D8">
        <w:rPr>
          <w:rFonts w:ascii="Verdana" w:hAnsi="Verdana"/>
        </w:rPr>
        <w:t>t</w:t>
      </w:r>
      <w:r w:rsidR="00C11F0B">
        <w:rPr>
          <w:rFonts w:ascii="Verdana" w:hAnsi="Verdana"/>
        </w:rPr>
        <w:t xml:space="preserve"> af Undervisningsministeriet. </w:t>
      </w:r>
      <w:r w:rsidR="00B17003">
        <w:rPr>
          <w:rFonts w:ascii="Verdana" w:hAnsi="Verdana"/>
        </w:rPr>
        <w:t>Profilmodellen bygger på historisk adfærd og er derfor anvendelig som en ’alt andet lige’ betragtning af</w:t>
      </w:r>
      <w:r w:rsidR="009A2552">
        <w:rPr>
          <w:rFonts w:ascii="Verdana" w:hAnsi="Verdana"/>
        </w:rPr>
        <w:t>,</w:t>
      </w:r>
      <w:r w:rsidR="00B17003">
        <w:rPr>
          <w:rFonts w:ascii="Verdana" w:hAnsi="Verdana"/>
        </w:rPr>
        <w:t xml:space="preserve"> hvordan </w:t>
      </w:r>
      <w:r w:rsidR="00B17003">
        <w:rPr>
          <w:rFonts w:ascii="Verdana" w:hAnsi="Verdana"/>
        </w:rPr>
        <w:lastRenderedPageBreak/>
        <w:t xml:space="preserve">uddannelsessammensætningen vil blive, hvis de kommende generationer træffer samme valg som tidligere generationer. </w:t>
      </w:r>
    </w:p>
    <w:p w14:paraId="580060DA" w14:textId="6F41D91B" w:rsidR="00E80A70" w:rsidRDefault="00E80A70" w:rsidP="003B439E">
      <w:pPr>
        <w:pStyle w:val="NoSpacing"/>
        <w:rPr>
          <w:rFonts w:ascii="Verdana" w:hAnsi="Verdana"/>
        </w:rPr>
      </w:pPr>
    </w:p>
    <w:p w14:paraId="644911B3" w14:textId="733B8282" w:rsidR="00D3214A" w:rsidRDefault="00C11F0B" w:rsidP="003B439E">
      <w:pPr>
        <w:pStyle w:val="NoSpacing"/>
        <w:rPr>
          <w:rFonts w:ascii="Verdana" w:hAnsi="Verdana"/>
        </w:rPr>
      </w:pPr>
      <w:r>
        <w:rPr>
          <w:rFonts w:ascii="Verdana" w:hAnsi="Verdana"/>
        </w:rPr>
        <w:t xml:space="preserve">Den seneste udgave </w:t>
      </w:r>
      <w:r w:rsidR="00B659A0">
        <w:rPr>
          <w:rFonts w:ascii="Verdana" w:hAnsi="Verdana"/>
        </w:rPr>
        <w:t xml:space="preserve">af profilmodellen </w:t>
      </w:r>
      <w:r>
        <w:rPr>
          <w:rFonts w:ascii="Verdana" w:hAnsi="Verdana"/>
        </w:rPr>
        <w:t>er fra 2016, hvori det fremgår at 81 pct. af en ungdomsårgang forventes at få en kompetencegivende uddannelse</w:t>
      </w:r>
      <w:r w:rsidR="00550573">
        <w:rPr>
          <w:rFonts w:ascii="Verdana" w:hAnsi="Verdana"/>
        </w:rPr>
        <w:t xml:space="preserve"> indenfor 25 år efter de går ud af folkeskolen</w:t>
      </w:r>
      <w:r>
        <w:rPr>
          <w:rFonts w:ascii="Verdana" w:hAnsi="Verdana"/>
        </w:rPr>
        <w:t>.</w:t>
      </w:r>
      <w:r w:rsidR="00D3214A">
        <w:rPr>
          <w:rFonts w:ascii="Verdana" w:hAnsi="Verdana"/>
        </w:rPr>
        <w:t xml:space="preserve"> Fordelingen af ungdomsårgangen ses i tabellen nedenfor, hvor kolonnen yderst til højre viser hvordan fordelingen </w:t>
      </w:r>
      <w:r w:rsidR="00B17003">
        <w:rPr>
          <w:rFonts w:ascii="Verdana" w:hAnsi="Verdana"/>
        </w:rPr>
        <w:t>i antal vil se ud, hvis der tages udgangspunkt i en årgangsstørrelse på 69.000</w:t>
      </w:r>
      <w:r w:rsidR="009A20D7">
        <w:rPr>
          <w:rFonts w:ascii="Verdana" w:hAnsi="Verdana"/>
        </w:rPr>
        <w:t xml:space="preserve">. </w:t>
      </w:r>
    </w:p>
    <w:p w14:paraId="18BF6B0E" w14:textId="34F14170" w:rsidR="00B659A0" w:rsidRDefault="00B659A0" w:rsidP="003B439E">
      <w:pPr>
        <w:pStyle w:val="NoSpacing"/>
        <w:rPr>
          <w:rFonts w:ascii="Verdana" w:hAnsi="Verdana"/>
        </w:rPr>
      </w:pPr>
    </w:p>
    <w:p w14:paraId="26682681" w14:textId="3155AA01" w:rsidR="00B659A0" w:rsidRPr="00B659A0" w:rsidRDefault="00B659A0" w:rsidP="003B439E">
      <w:pPr>
        <w:pStyle w:val="NoSpacing"/>
        <w:rPr>
          <w:rFonts w:ascii="Verdana" w:hAnsi="Verdana"/>
          <w:i/>
        </w:rPr>
      </w:pPr>
      <w:r>
        <w:rPr>
          <w:rFonts w:ascii="Verdana" w:hAnsi="Verdana"/>
          <w:i/>
        </w:rPr>
        <w:t>Tabel 6: Uddannelsesfordeling på baggrund af Profilmodellen</w:t>
      </w:r>
    </w:p>
    <w:tbl>
      <w:tblPr>
        <w:tblStyle w:val="Listetabel6-farverig1"/>
        <w:tblW w:w="0" w:type="auto"/>
        <w:tblLook w:val="04A0" w:firstRow="1" w:lastRow="0" w:firstColumn="1" w:lastColumn="0" w:noHBand="0" w:noVBand="1"/>
      </w:tblPr>
      <w:tblGrid>
        <w:gridCol w:w="1980"/>
        <w:gridCol w:w="2410"/>
        <w:gridCol w:w="1559"/>
        <w:gridCol w:w="2992"/>
      </w:tblGrid>
      <w:tr w:rsidR="00B17003" w14:paraId="5C5244CB" w14:textId="7D2478F2" w:rsidTr="00DA7C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592AA4" w14:textId="2B2601BE" w:rsidR="00B17003" w:rsidRPr="002D526A" w:rsidRDefault="00B17003" w:rsidP="003B439E">
            <w:pPr>
              <w:pStyle w:val="NoSpacing"/>
              <w:rPr>
                <w:rFonts w:asciiTheme="majorHAnsi" w:hAnsiTheme="majorHAnsi" w:cstheme="majorHAnsi"/>
              </w:rPr>
            </w:pPr>
          </w:p>
        </w:tc>
        <w:tc>
          <w:tcPr>
            <w:tcW w:w="2410" w:type="dxa"/>
            <w:tcBorders>
              <w:bottom w:val="single" w:sz="4" w:space="0" w:color="auto"/>
            </w:tcBorders>
          </w:tcPr>
          <w:p w14:paraId="6DB8D037" w14:textId="3B687B91" w:rsidR="00B17003" w:rsidRPr="002D526A" w:rsidRDefault="00B17003" w:rsidP="003B439E">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D526A">
              <w:rPr>
                <w:rFonts w:asciiTheme="majorHAnsi" w:hAnsiTheme="majorHAnsi" w:cstheme="majorHAnsi"/>
              </w:rPr>
              <w:t>Uddannelse</w:t>
            </w:r>
          </w:p>
        </w:tc>
        <w:tc>
          <w:tcPr>
            <w:tcW w:w="1559" w:type="dxa"/>
            <w:tcBorders>
              <w:bottom w:val="single" w:sz="4" w:space="0" w:color="auto"/>
            </w:tcBorders>
          </w:tcPr>
          <w:p w14:paraId="6618B12F" w14:textId="6F0C54FF" w:rsidR="00B17003" w:rsidRPr="002D526A" w:rsidRDefault="00B17003" w:rsidP="003B439E">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D526A">
              <w:rPr>
                <w:rFonts w:asciiTheme="majorHAnsi" w:hAnsiTheme="majorHAnsi" w:cstheme="majorHAnsi"/>
              </w:rPr>
              <w:t>Andel, pct.</w:t>
            </w:r>
          </w:p>
        </w:tc>
        <w:tc>
          <w:tcPr>
            <w:tcW w:w="2992" w:type="dxa"/>
            <w:tcBorders>
              <w:bottom w:val="single" w:sz="4" w:space="0" w:color="auto"/>
            </w:tcBorders>
          </w:tcPr>
          <w:p w14:paraId="7B40DEF6" w14:textId="3895A999" w:rsidR="00B17003" w:rsidRPr="002D526A" w:rsidRDefault="00B17003" w:rsidP="003B439E">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D526A">
              <w:rPr>
                <w:rFonts w:asciiTheme="majorHAnsi" w:hAnsiTheme="majorHAnsi" w:cstheme="majorHAnsi"/>
              </w:rPr>
              <w:t>Antal af gennemsnitlig ungdomsårgang</w:t>
            </w:r>
          </w:p>
        </w:tc>
      </w:tr>
      <w:tr w:rsidR="002D526A" w14:paraId="35C3F845" w14:textId="02B677BC" w:rsidTr="00DA7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000000" w:themeColor="text1"/>
              <w:bottom w:val="nil"/>
            </w:tcBorders>
          </w:tcPr>
          <w:p w14:paraId="34EDAFD1" w14:textId="49F74033" w:rsidR="002D526A" w:rsidRPr="009A20D7" w:rsidRDefault="002D526A" w:rsidP="002D526A">
            <w:pPr>
              <w:pStyle w:val="NoSpacing"/>
              <w:rPr>
                <w:rFonts w:asciiTheme="majorHAnsi" w:hAnsiTheme="majorHAnsi" w:cstheme="majorHAnsi"/>
              </w:rPr>
            </w:pPr>
            <w:proofErr w:type="spellStart"/>
            <w:r w:rsidRPr="009A20D7">
              <w:rPr>
                <w:rFonts w:asciiTheme="majorHAnsi" w:hAnsiTheme="majorHAnsi" w:cstheme="majorHAnsi"/>
              </w:rPr>
              <w:t>Kompetence-givende</w:t>
            </w:r>
            <w:proofErr w:type="spellEnd"/>
            <w:r w:rsidRPr="009A20D7">
              <w:rPr>
                <w:rFonts w:asciiTheme="majorHAnsi" w:hAnsiTheme="majorHAnsi" w:cstheme="majorHAnsi"/>
              </w:rPr>
              <w:t xml:space="preserve"> </w:t>
            </w:r>
          </w:p>
        </w:tc>
        <w:tc>
          <w:tcPr>
            <w:tcW w:w="2410" w:type="dxa"/>
            <w:tcBorders>
              <w:top w:val="single" w:sz="4" w:space="0" w:color="auto"/>
              <w:bottom w:val="nil"/>
            </w:tcBorders>
          </w:tcPr>
          <w:p w14:paraId="5B260F17" w14:textId="7A97B3C6" w:rsidR="002D526A" w:rsidRPr="009A20D7" w:rsidRDefault="00DA7C3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Lang videregående</w:t>
            </w:r>
          </w:p>
        </w:tc>
        <w:tc>
          <w:tcPr>
            <w:tcW w:w="1559" w:type="dxa"/>
            <w:tcBorders>
              <w:top w:val="single" w:sz="4" w:space="0" w:color="auto"/>
              <w:bottom w:val="nil"/>
            </w:tcBorders>
          </w:tcPr>
          <w:p w14:paraId="5E1DBC0C" w14:textId="12FDD5B6" w:rsidR="002D526A" w:rsidRPr="009A20D7" w:rsidRDefault="00DA7C3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27</w:t>
            </w:r>
          </w:p>
        </w:tc>
        <w:tc>
          <w:tcPr>
            <w:tcW w:w="2992" w:type="dxa"/>
            <w:tcBorders>
              <w:top w:val="single" w:sz="4" w:space="0" w:color="auto"/>
              <w:bottom w:val="nil"/>
              <w:right w:val="nil"/>
            </w:tcBorders>
          </w:tcPr>
          <w:p w14:paraId="2D1C1E39" w14:textId="67516318" w:rsidR="002D526A" w:rsidRPr="009A20D7" w:rsidRDefault="00DA7C3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18.630</w:t>
            </w:r>
            <w:r w:rsidR="002D526A" w:rsidRPr="009A20D7">
              <w:rPr>
                <w:rFonts w:asciiTheme="majorHAnsi" w:hAnsiTheme="majorHAnsi" w:cstheme="majorHAnsi"/>
              </w:rPr>
              <w:t xml:space="preserve"> </w:t>
            </w:r>
          </w:p>
        </w:tc>
      </w:tr>
      <w:tr w:rsidR="00DA7C3A" w14:paraId="1EF61451" w14:textId="77777777" w:rsidTr="00DA7C3A">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000000" w:themeColor="text1"/>
              <w:bottom w:val="nil"/>
            </w:tcBorders>
          </w:tcPr>
          <w:p w14:paraId="5109F571" w14:textId="77777777" w:rsidR="00DA7C3A" w:rsidRPr="009A20D7" w:rsidRDefault="00DA7C3A" w:rsidP="002D526A">
            <w:pPr>
              <w:pStyle w:val="NoSpacing"/>
              <w:rPr>
                <w:rFonts w:asciiTheme="majorHAnsi" w:hAnsiTheme="majorHAnsi" w:cstheme="majorHAnsi"/>
              </w:rPr>
            </w:pPr>
          </w:p>
        </w:tc>
        <w:tc>
          <w:tcPr>
            <w:tcW w:w="2410" w:type="dxa"/>
            <w:tcBorders>
              <w:top w:val="nil"/>
              <w:bottom w:val="nil"/>
            </w:tcBorders>
          </w:tcPr>
          <w:p w14:paraId="0619C0C1" w14:textId="0CAFC0FA" w:rsidR="00DA7C3A" w:rsidRPr="009A20D7" w:rsidRDefault="00DA7C3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Videregående - øvrige</w:t>
            </w:r>
          </w:p>
        </w:tc>
        <w:tc>
          <w:tcPr>
            <w:tcW w:w="1559" w:type="dxa"/>
            <w:tcBorders>
              <w:top w:val="nil"/>
              <w:bottom w:val="nil"/>
            </w:tcBorders>
          </w:tcPr>
          <w:p w14:paraId="25045148" w14:textId="253327BA" w:rsidR="00DA7C3A" w:rsidRPr="009A20D7" w:rsidRDefault="00DA7C3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35</w:t>
            </w:r>
          </w:p>
        </w:tc>
        <w:tc>
          <w:tcPr>
            <w:tcW w:w="2992" w:type="dxa"/>
            <w:tcBorders>
              <w:top w:val="nil"/>
              <w:bottom w:val="nil"/>
            </w:tcBorders>
          </w:tcPr>
          <w:p w14:paraId="31AEEE3B" w14:textId="309672BB" w:rsidR="00DA7C3A" w:rsidRPr="009A20D7" w:rsidRDefault="00DA7C3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24.150</w:t>
            </w:r>
          </w:p>
        </w:tc>
      </w:tr>
      <w:tr w:rsidR="002D526A" w14:paraId="34FECEF5" w14:textId="77777777" w:rsidTr="009A2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top w:val="nil"/>
              <w:bottom w:val="single" w:sz="4" w:space="0" w:color="auto"/>
            </w:tcBorders>
          </w:tcPr>
          <w:p w14:paraId="1F473AF6" w14:textId="77777777" w:rsidR="002D526A" w:rsidRPr="009A20D7" w:rsidRDefault="002D526A" w:rsidP="002D526A">
            <w:pPr>
              <w:pStyle w:val="NoSpacing"/>
              <w:rPr>
                <w:rFonts w:asciiTheme="majorHAnsi" w:hAnsiTheme="majorHAnsi" w:cstheme="majorHAnsi"/>
              </w:rPr>
            </w:pPr>
          </w:p>
        </w:tc>
        <w:tc>
          <w:tcPr>
            <w:tcW w:w="2410" w:type="dxa"/>
            <w:tcBorders>
              <w:top w:val="nil"/>
              <w:bottom w:val="single" w:sz="4" w:space="0" w:color="auto"/>
            </w:tcBorders>
          </w:tcPr>
          <w:p w14:paraId="33825A42" w14:textId="0BA7736B" w:rsidR="002D526A" w:rsidRPr="009A20D7" w:rsidRDefault="002D526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Erhvervsfaglig</w:t>
            </w:r>
          </w:p>
        </w:tc>
        <w:tc>
          <w:tcPr>
            <w:tcW w:w="1559" w:type="dxa"/>
            <w:tcBorders>
              <w:top w:val="nil"/>
              <w:bottom w:val="single" w:sz="4" w:space="0" w:color="auto"/>
            </w:tcBorders>
          </w:tcPr>
          <w:p w14:paraId="2ACD530B" w14:textId="0A3C015C" w:rsidR="002D526A" w:rsidRPr="009A20D7" w:rsidRDefault="002D526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19</w:t>
            </w:r>
          </w:p>
        </w:tc>
        <w:tc>
          <w:tcPr>
            <w:tcW w:w="2992" w:type="dxa"/>
            <w:tcBorders>
              <w:top w:val="nil"/>
              <w:bottom w:val="single" w:sz="4" w:space="0" w:color="auto"/>
            </w:tcBorders>
          </w:tcPr>
          <w:p w14:paraId="21F7A843" w14:textId="02A54583" w:rsidR="002D526A" w:rsidRPr="009A20D7" w:rsidRDefault="002D526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13.110     </w:t>
            </w:r>
          </w:p>
        </w:tc>
      </w:tr>
      <w:tr w:rsidR="002D526A" w14:paraId="78DA4F2A" w14:textId="77777777" w:rsidTr="009A20D7">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tcPr>
          <w:p w14:paraId="4210ACDB" w14:textId="2D66B214" w:rsidR="002D526A" w:rsidRPr="009A20D7" w:rsidRDefault="002D526A" w:rsidP="002D526A">
            <w:pPr>
              <w:pStyle w:val="NoSpacing"/>
              <w:rPr>
                <w:rFonts w:asciiTheme="majorHAnsi" w:hAnsiTheme="majorHAnsi" w:cstheme="majorHAnsi"/>
              </w:rPr>
            </w:pPr>
            <w:r w:rsidRPr="009A20D7">
              <w:rPr>
                <w:rFonts w:asciiTheme="majorHAnsi" w:hAnsiTheme="majorHAnsi" w:cstheme="majorHAnsi"/>
              </w:rPr>
              <w:t xml:space="preserve">Ikke </w:t>
            </w:r>
            <w:proofErr w:type="spellStart"/>
            <w:r w:rsidRPr="009A20D7">
              <w:rPr>
                <w:rFonts w:asciiTheme="majorHAnsi" w:hAnsiTheme="majorHAnsi" w:cstheme="majorHAnsi"/>
              </w:rPr>
              <w:t>kompetence-givende</w:t>
            </w:r>
            <w:proofErr w:type="spellEnd"/>
          </w:p>
        </w:tc>
        <w:tc>
          <w:tcPr>
            <w:tcW w:w="2410" w:type="dxa"/>
            <w:tcBorders>
              <w:top w:val="single" w:sz="4" w:space="0" w:color="auto"/>
            </w:tcBorders>
          </w:tcPr>
          <w:p w14:paraId="49318858" w14:textId="3203782F" w:rsidR="002D526A" w:rsidRPr="009A20D7" w:rsidRDefault="002D526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Gymnasial </w:t>
            </w:r>
          </w:p>
        </w:tc>
        <w:tc>
          <w:tcPr>
            <w:tcW w:w="1559" w:type="dxa"/>
            <w:tcBorders>
              <w:top w:val="single" w:sz="4" w:space="0" w:color="auto"/>
            </w:tcBorders>
          </w:tcPr>
          <w:p w14:paraId="0C487615" w14:textId="3B0CE643" w:rsidR="002D526A" w:rsidRPr="009A20D7" w:rsidRDefault="002D526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8</w:t>
            </w:r>
          </w:p>
        </w:tc>
        <w:tc>
          <w:tcPr>
            <w:tcW w:w="2992" w:type="dxa"/>
            <w:tcBorders>
              <w:top w:val="single" w:sz="4" w:space="0" w:color="auto"/>
            </w:tcBorders>
          </w:tcPr>
          <w:p w14:paraId="52E6BC80" w14:textId="707FEE69" w:rsidR="002D526A" w:rsidRPr="009A20D7" w:rsidRDefault="002D526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5.520     </w:t>
            </w:r>
          </w:p>
        </w:tc>
      </w:tr>
      <w:tr w:rsidR="002D526A" w14:paraId="39D302CC" w14:textId="77777777" w:rsidTr="002D5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458F9590" w14:textId="77777777" w:rsidR="002D526A" w:rsidRPr="009A20D7" w:rsidRDefault="002D526A" w:rsidP="002D526A">
            <w:pPr>
              <w:pStyle w:val="NoSpacing"/>
              <w:rPr>
                <w:rFonts w:asciiTheme="majorHAnsi" w:hAnsiTheme="majorHAnsi" w:cstheme="majorHAnsi"/>
              </w:rPr>
            </w:pPr>
          </w:p>
        </w:tc>
        <w:tc>
          <w:tcPr>
            <w:tcW w:w="2410" w:type="dxa"/>
          </w:tcPr>
          <w:p w14:paraId="25CE8828" w14:textId="11CCA621" w:rsidR="002D526A" w:rsidRPr="009A20D7" w:rsidRDefault="002D526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STU og KUU</w:t>
            </w:r>
          </w:p>
        </w:tc>
        <w:tc>
          <w:tcPr>
            <w:tcW w:w="1559" w:type="dxa"/>
          </w:tcPr>
          <w:p w14:paraId="7F4A3547" w14:textId="78EA68E2" w:rsidR="002D526A" w:rsidRPr="009A20D7" w:rsidRDefault="002D526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2</w:t>
            </w:r>
          </w:p>
        </w:tc>
        <w:tc>
          <w:tcPr>
            <w:tcW w:w="2992" w:type="dxa"/>
          </w:tcPr>
          <w:p w14:paraId="5CEAE153" w14:textId="6B4C0573" w:rsidR="002D526A" w:rsidRPr="009A20D7" w:rsidRDefault="002D526A" w:rsidP="002D526A">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1.380     </w:t>
            </w:r>
          </w:p>
        </w:tc>
      </w:tr>
      <w:tr w:rsidR="002D526A" w14:paraId="7F9E05C9" w14:textId="77777777" w:rsidTr="002D526A">
        <w:tc>
          <w:tcPr>
            <w:cnfStyle w:val="001000000000" w:firstRow="0" w:lastRow="0" w:firstColumn="1" w:lastColumn="0" w:oddVBand="0" w:evenVBand="0" w:oddHBand="0" w:evenHBand="0" w:firstRowFirstColumn="0" w:firstRowLastColumn="0" w:lastRowFirstColumn="0" w:lastRowLastColumn="0"/>
            <w:tcW w:w="1980" w:type="dxa"/>
            <w:vMerge/>
          </w:tcPr>
          <w:p w14:paraId="5A1ED9F0" w14:textId="77777777" w:rsidR="002D526A" w:rsidRPr="009A20D7" w:rsidRDefault="002D526A" w:rsidP="002D526A">
            <w:pPr>
              <w:pStyle w:val="NoSpacing"/>
              <w:rPr>
                <w:rFonts w:asciiTheme="majorHAnsi" w:hAnsiTheme="majorHAnsi" w:cstheme="majorHAnsi"/>
              </w:rPr>
            </w:pPr>
          </w:p>
        </w:tc>
        <w:tc>
          <w:tcPr>
            <w:tcW w:w="2410" w:type="dxa"/>
          </w:tcPr>
          <w:p w14:paraId="7900F945" w14:textId="730DFF60" w:rsidR="002D526A" w:rsidRPr="009A20D7" w:rsidRDefault="002D526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Ingen uddannelse</w:t>
            </w:r>
          </w:p>
        </w:tc>
        <w:tc>
          <w:tcPr>
            <w:tcW w:w="1559" w:type="dxa"/>
          </w:tcPr>
          <w:p w14:paraId="3567BD49" w14:textId="53C6B06B" w:rsidR="002D526A" w:rsidRPr="009A20D7" w:rsidRDefault="002D526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9</w:t>
            </w:r>
          </w:p>
        </w:tc>
        <w:tc>
          <w:tcPr>
            <w:tcW w:w="2992" w:type="dxa"/>
          </w:tcPr>
          <w:p w14:paraId="67D55EAD" w14:textId="5384277F" w:rsidR="002D526A" w:rsidRPr="009A20D7" w:rsidRDefault="002D526A" w:rsidP="002D526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6.210     </w:t>
            </w:r>
          </w:p>
        </w:tc>
      </w:tr>
    </w:tbl>
    <w:p w14:paraId="3F6EAD3F" w14:textId="22B4DD7B" w:rsidR="00D3214A" w:rsidRPr="006A0FEA" w:rsidRDefault="00B659A0" w:rsidP="003B439E">
      <w:pPr>
        <w:pStyle w:val="NoSpacing"/>
        <w:rPr>
          <w:rFonts w:ascii="Verdana" w:hAnsi="Verdana"/>
          <w:i/>
          <w:sz w:val="20"/>
        </w:rPr>
      </w:pPr>
      <w:proofErr w:type="spellStart"/>
      <w:r w:rsidRPr="006A0FEA">
        <w:rPr>
          <w:rFonts w:ascii="Verdana" w:hAnsi="Verdana"/>
          <w:i/>
          <w:sz w:val="20"/>
        </w:rPr>
        <w:t>Anm</w:t>
      </w:r>
      <w:proofErr w:type="spellEnd"/>
      <w:r w:rsidRPr="006A0FEA">
        <w:rPr>
          <w:rFonts w:ascii="Verdana" w:hAnsi="Verdana"/>
          <w:i/>
          <w:sz w:val="20"/>
        </w:rPr>
        <w:t xml:space="preserve">: </w:t>
      </w:r>
      <w:r w:rsidR="00DA7C3A" w:rsidRPr="006A0FEA">
        <w:rPr>
          <w:rFonts w:ascii="Verdana" w:hAnsi="Verdana"/>
          <w:i/>
          <w:sz w:val="20"/>
        </w:rPr>
        <w:t xml:space="preserve">Antal af gennemsnitlig ungdomsårgang bygger på tal fra Danmarks Statistiks befolkningsfremskrivning, Tabel FRDK117, som viser at en gennemsnitsårgang frem mod 2060 udgøres af ca. 69.000 personer. </w:t>
      </w:r>
    </w:p>
    <w:p w14:paraId="0FA16984" w14:textId="098259BA" w:rsidR="00DA7C3A" w:rsidRPr="006A0FEA" w:rsidRDefault="00DA7C3A" w:rsidP="003B439E">
      <w:pPr>
        <w:pStyle w:val="NoSpacing"/>
        <w:rPr>
          <w:rFonts w:ascii="Verdana" w:hAnsi="Verdana"/>
          <w:i/>
          <w:sz w:val="20"/>
        </w:rPr>
      </w:pPr>
      <w:r w:rsidRPr="006A0FEA">
        <w:rPr>
          <w:rFonts w:ascii="Verdana" w:hAnsi="Verdana"/>
          <w:i/>
          <w:sz w:val="20"/>
        </w:rPr>
        <w:t xml:space="preserve">Kilde: </w:t>
      </w:r>
      <w:sdt>
        <w:sdtPr>
          <w:rPr>
            <w:rFonts w:ascii="Verdana" w:hAnsi="Verdana"/>
            <w:i/>
            <w:sz w:val="20"/>
          </w:rPr>
          <w:id w:val="-1513595700"/>
          <w:citation/>
        </w:sdtPr>
        <w:sdtEndPr/>
        <w:sdtContent>
          <w:r w:rsidRPr="006A0FEA">
            <w:rPr>
              <w:rFonts w:ascii="Verdana" w:hAnsi="Verdana"/>
              <w:i/>
              <w:sz w:val="20"/>
            </w:rPr>
            <w:fldChar w:fldCharType="begin"/>
          </w:r>
          <w:r w:rsidRPr="006A0FEA">
            <w:rPr>
              <w:rFonts w:ascii="Verdana" w:hAnsi="Verdana"/>
              <w:i/>
              <w:sz w:val="20"/>
            </w:rPr>
            <w:instrText xml:space="preserve"> CITATION Und17 \l 1030 </w:instrText>
          </w:r>
          <w:r w:rsidRPr="006A0FEA">
            <w:rPr>
              <w:rFonts w:ascii="Verdana" w:hAnsi="Verdana"/>
              <w:i/>
              <w:sz w:val="20"/>
            </w:rPr>
            <w:fldChar w:fldCharType="separate"/>
          </w:r>
          <w:r w:rsidR="006A0FEA" w:rsidRPr="006A0FEA">
            <w:rPr>
              <w:rFonts w:ascii="Verdana" w:hAnsi="Verdana"/>
              <w:noProof/>
              <w:sz w:val="20"/>
            </w:rPr>
            <w:t>(Undervisningsministeriet, 2017)</w:t>
          </w:r>
          <w:r w:rsidRPr="006A0FEA">
            <w:rPr>
              <w:rFonts w:ascii="Verdana" w:hAnsi="Verdana"/>
              <w:i/>
              <w:sz w:val="20"/>
            </w:rPr>
            <w:fldChar w:fldCharType="end"/>
          </w:r>
        </w:sdtContent>
      </w:sdt>
      <w:r w:rsidRPr="006A0FEA">
        <w:rPr>
          <w:rFonts w:ascii="Verdana" w:hAnsi="Verdana"/>
          <w:i/>
          <w:sz w:val="20"/>
        </w:rPr>
        <w:t xml:space="preserve"> og </w:t>
      </w:r>
      <w:r w:rsidRPr="006A0FEA">
        <w:rPr>
          <w:rFonts w:ascii="Verdana" w:hAnsi="Verdana"/>
          <w:sz w:val="20"/>
        </w:rPr>
        <w:t>FRDK117, DST.</w:t>
      </w:r>
    </w:p>
    <w:p w14:paraId="3767EB93" w14:textId="77777777" w:rsidR="00B659A0" w:rsidRDefault="00B659A0" w:rsidP="003B439E">
      <w:pPr>
        <w:pStyle w:val="NoSpacing"/>
        <w:rPr>
          <w:rFonts w:ascii="Verdana" w:hAnsi="Verdana"/>
        </w:rPr>
      </w:pPr>
    </w:p>
    <w:p w14:paraId="7E5ECFF7" w14:textId="501CFCA2" w:rsidR="00D3214A" w:rsidRDefault="00791BE5" w:rsidP="003B439E">
      <w:pPr>
        <w:pStyle w:val="NoSpacing"/>
        <w:rPr>
          <w:rFonts w:ascii="Verdana" w:hAnsi="Verdana"/>
        </w:rPr>
      </w:pPr>
      <w:r>
        <w:rPr>
          <w:rFonts w:ascii="Verdana" w:hAnsi="Verdana"/>
        </w:rPr>
        <w:t xml:space="preserve">Den konkrete case, </w:t>
      </w:r>
      <w:r w:rsidR="009A20D7">
        <w:rPr>
          <w:rFonts w:ascii="Verdana" w:hAnsi="Verdana"/>
        </w:rPr>
        <w:t>som vi her vil regne på</w:t>
      </w:r>
      <w:r>
        <w:rPr>
          <w:rFonts w:ascii="Verdana" w:hAnsi="Verdana"/>
        </w:rPr>
        <w:t>,</w:t>
      </w:r>
      <w:r w:rsidR="009A20D7">
        <w:rPr>
          <w:rFonts w:ascii="Verdana" w:hAnsi="Verdana"/>
        </w:rPr>
        <w:t xml:space="preserve"> </w:t>
      </w:r>
      <w:r w:rsidR="009113D6">
        <w:rPr>
          <w:rFonts w:ascii="Verdana" w:hAnsi="Verdana"/>
        </w:rPr>
        <w:t xml:space="preserve">er som nævnt, at der årligt uddannes </w:t>
      </w:r>
      <w:r>
        <w:rPr>
          <w:rFonts w:ascii="Verdana" w:hAnsi="Verdana"/>
        </w:rPr>
        <w:t>100</w:t>
      </w:r>
      <w:r w:rsidR="009113D6">
        <w:rPr>
          <w:rFonts w:ascii="Verdana" w:hAnsi="Verdana"/>
        </w:rPr>
        <w:t xml:space="preserve"> flere universitetskandidater, end tilfældet er i dag.</w:t>
      </w:r>
      <w:r w:rsidR="00DA7C3A">
        <w:rPr>
          <w:rFonts w:ascii="Verdana" w:hAnsi="Verdana"/>
        </w:rPr>
        <w:t xml:space="preserve"> Med udgangspunkt i Tabel 6 skal det besluttes hvilke personer, som i politikeksperimentet skal have en kandidatuddannelse. Beslutningen har stor betydning for produktivitetsgevinsten. Således vil der være mindre produktivitetsgevinst, hvis en person, der i baseline-scenariet ville få en mellemlang videregående uddannelse, fremover får en universitetsuddannelse, end hvis en ufaglært får en kandidatgrad. Det er imidlertid mindre sandsynligt, at en ufaglært, der ikke umiddelbart har en adgangsgivende eksamen, vil opnå en kandidatgrad, blot fordi muligheden opstår. </w:t>
      </w:r>
    </w:p>
    <w:p w14:paraId="40AA1E2C" w14:textId="77777777" w:rsidR="00DA7C3A" w:rsidRDefault="00DA7C3A" w:rsidP="003B439E">
      <w:pPr>
        <w:pStyle w:val="NoSpacing"/>
        <w:rPr>
          <w:rFonts w:ascii="Verdana" w:hAnsi="Verdana"/>
        </w:rPr>
      </w:pPr>
      <w:r>
        <w:rPr>
          <w:rFonts w:ascii="Verdana" w:hAnsi="Verdana"/>
        </w:rPr>
        <w:t>Derfor vil vi i det følgende antage, at uddannelsesløftet alene reducerer antallet af unge, som ikke opnår en kompetencegivende uddannelse, via en mindskelse af den gruppe, som i dag kun får en gymnasial uddannelse. Det skal her bemærkes, at antagelsen ikke nødvendigvis medfører, at de personer, som med den nuværende uddannelsesadfærd kun opnår end gymnasial uddannelse, med uddannelsesløftet får en kandidatuddannelse. Derimod kan uddannelsesløftet medføre, at personer med en gymnasial uddannelse, fremover vil få f.eks. en KVU eller MVU, mens der tilsvarende sker et løft fra grupperne KVU og MVU til LVU. I Tabel 7 nedenfor er den fremtidige uddannelsesfordeling efter uddannelsesløftet angivet.</w:t>
      </w:r>
    </w:p>
    <w:p w14:paraId="5253FF05" w14:textId="77777777" w:rsidR="00DA7C3A" w:rsidRDefault="00DA7C3A" w:rsidP="003B439E">
      <w:pPr>
        <w:pStyle w:val="NoSpacing"/>
        <w:rPr>
          <w:rFonts w:ascii="Verdana" w:hAnsi="Verdana"/>
        </w:rPr>
      </w:pPr>
    </w:p>
    <w:p w14:paraId="58F898DC" w14:textId="33EE47EE" w:rsidR="00DA7C3A" w:rsidRPr="00B659A0" w:rsidRDefault="00DA7C3A" w:rsidP="00DA7C3A">
      <w:pPr>
        <w:pStyle w:val="NoSpacing"/>
        <w:rPr>
          <w:rFonts w:ascii="Verdana" w:hAnsi="Verdana"/>
          <w:i/>
        </w:rPr>
      </w:pPr>
      <w:r>
        <w:rPr>
          <w:rFonts w:ascii="Verdana" w:hAnsi="Verdana"/>
          <w:i/>
        </w:rPr>
        <w:t>Tabel 7: Uddannelsesfordeling på baggrund efter uddannelsesløft</w:t>
      </w:r>
    </w:p>
    <w:tbl>
      <w:tblPr>
        <w:tblStyle w:val="Listetabel6-farverig1"/>
        <w:tblW w:w="0" w:type="auto"/>
        <w:tblLook w:val="04A0" w:firstRow="1" w:lastRow="0" w:firstColumn="1" w:lastColumn="0" w:noHBand="0" w:noVBand="1"/>
      </w:tblPr>
      <w:tblGrid>
        <w:gridCol w:w="1980"/>
        <w:gridCol w:w="2410"/>
        <w:gridCol w:w="1559"/>
        <w:gridCol w:w="2992"/>
      </w:tblGrid>
      <w:tr w:rsidR="00DA7C3A" w14:paraId="187CB36E" w14:textId="77777777" w:rsidTr="0081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0D032B" w14:textId="77777777" w:rsidR="00DA7C3A" w:rsidRPr="002D526A" w:rsidRDefault="00DA7C3A" w:rsidP="00816B09">
            <w:pPr>
              <w:pStyle w:val="NoSpacing"/>
              <w:rPr>
                <w:rFonts w:asciiTheme="majorHAnsi" w:hAnsiTheme="majorHAnsi" w:cstheme="majorHAnsi"/>
              </w:rPr>
            </w:pPr>
          </w:p>
        </w:tc>
        <w:tc>
          <w:tcPr>
            <w:tcW w:w="2410" w:type="dxa"/>
            <w:tcBorders>
              <w:bottom w:val="single" w:sz="4" w:space="0" w:color="auto"/>
            </w:tcBorders>
          </w:tcPr>
          <w:p w14:paraId="123F5AE5" w14:textId="77777777" w:rsidR="00DA7C3A" w:rsidRPr="002D526A" w:rsidRDefault="00DA7C3A" w:rsidP="00816B09">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D526A">
              <w:rPr>
                <w:rFonts w:asciiTheme="majorHAnsi" w:hAnsiTheme="majorHAnsi" w:cstheme="majorHAnsi"/>
              </w:rPr>
              <w:t>Uddannelse</w:t>
            </w:r>
          </w:p>
        </w:tc>
        <w:tc>
          <w:tcPr>
            <w:tcW w:w="1559" w:type="dxa"/>
            <w:tcBorders>
              <w:bottom w:val="single" w:sz="4" w:space="0" w:color="auto"/>
            </w:tcBorders>
          </w:tcPr>
          <w:p w14:paraId="238EC79A" w14:textId="77777777" w:rsidR="00DA7C3A" w:rsidRPr="002D526A" w:rsidRDefault="00DA7C3A" w:rsidP="00816B09">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D526A">
              <w:rPr>
                <w:rFonts w:asciiTheme="majorHAnsi" w:hAnsiTheme="majorHAnsi" w:cstheme="majorHAnsi"/>
              </w:rPr>
              <w:t>Andel, pct.</w:t>
            </w:r>
          </w:p>
        </w:tc>
        <w:tc>
          <w:tcPr>
            <w:tcW w:w="2992" w:type="dxa"/>
            <w:tcBorders>
              <w:bottom w:val="single" w:sz="4" w:space="0" w:color="auto"/>
            </w:tcBorders>
          </w:tcPr>
          <w:p w14:paraId="378C3291" w14:textId="77777777" w:rsidR="00DA7C3A" w:rsidRPr="002D526A" w:rsidRDefault="00DA7C3A" w:rsidP="00816B09">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D526A">
              <w:rPr>
                <w:rFonts w:asciiTheme="majorHAnsi" w:hAnsiTheme="majorHAnsi" w:cstheme="majorHAnsi"/>
              </w:rPr>
              <w:t xml:space="preserve">Antal af gennemsnitlig </w:t>
            </w:r>
            <w:r w:rsidRPr="002D526A">
              <w:rPr>
                <w:rFonts w:asciiTheme="majorHAnsi" w:hAnsiTheme="majorHAnsi" w:cstheme="majorHAnsi"/>
              </w:rPr>
              <w:lastRenderedPageBreak/>
              <w:t>ungdomsårgang</w:t>
            </w:r>
          </w:p>
        </w:tc>
      </w:tr>
      <w:tr w:rsidR="00DA7C3A" w14:paraId="4ECD0F5A" w14:textId="77777777" w:rsidTr="00816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000000" w:themeColor="text1"/>
              <w:bottom w:val="nil"/>
            </w:tcBorders>
          </w:tcPr>
          <w:p w14:paraId="02FC32C5" w14:textId="77777777" w:rsidR="00DA7C3A" w:rsidRPr="009A20D7" w:rsidRDefault="00DA7C3A" w:rsidP="00816B09">
            <w:pPr>
              <w:pStyle w:val="NoSpacing"/>
              <w:rPr>
                <w:rFonts w:asciiTheme="majorHAnsi" w:hAnsiTheme="majorHAnsi" w:cstheme="majorHAnsi"/>
              </w:rPr>
            </w:pPr>
            <w:proofErr w:type="spellStart"/>
            <w:r w:rsidRPr="009A20D7">
              <w:rPr>
                <w:rFonts w:asciiTheme="majorHAnsi" w:hAnsiTheme="majorHAnsi" w:cstheme="majorHAnsi"/>
              </w:rPr>
              <w:lastRenderedPageBreak/>
              <w:t>Kompetence-givende</w:t>
            </w:r>
            <w:proofErr w:type="spellEnd"/>
            <w:r w:rsidRPr="009A20D7">
              <w:rPr>
                <w:rFonts w:asciiTheme="majorHAnsi" w:hAnsiTheme="majorHAnsi" w:cstheme="majorHAnsi"/>
              </w:rPr>
              <w:t xml:space="preserve"> </w:t>
            </w:r>
          </w:p>
        </w:tc>
        <w:tc>
          <w:tcPr>
            <w:tcW w:w="2410" w:type="dxa"/>
            <w:tcBorders>
              <w:top w:val="single" w:sz="4" w:space="0" w:color="auto"/>
              <w:bottom w:val="nil"/>
            </w:tcBorders>
          </w:tcPr>
          <w:p w14:paraId="20345EB3" w14:textId="77777777"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Lang videregående</w:t>
            </w:r>
          </w:p>
        </w:tc>
        <w:tc>
          <w:tcPr>
            <w:tcW w:w="1559" w:type="dxa"/>
            <w:tcBorders>
              <w:top w:val="single" w:sz="4" w:space="0" w:color="auto"/>
              <w:bottom w:val="nil"/>
            </w:tcBorders>
          </w:tcPr>
          <w:p w14:paraId="1421B62D" w14:textId="26E57D00"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30</w:t>
            </w:r>
          </w:p>
        </w:tc>
        <w:tc>
          <w:tcPr>
            <w:tcW w:w="2992" w:type="dxa"/>
            <w:tcBorders>
              <w:top w:val="single" w:sz="4" w:space="0" w:color="auto"/>
              <w:bottom w:val="nil"/>
              <w:right w:val="nil"/>
            </w:tcBorders>
          </w:tcPr>
          <w:p w14:paraId="6C5688DA" w14:textId="1F78C74C" w:rsidR="00DA7C3A" w:rsidRPr="009A20D7" w:rsidRDefault="00CF4A08"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18.730</w:t>
            </w:r>
          </w:p>
        </w:tc>
      </w:tr>
      <w:tr w:rsidR="00DA7C3A" w14:paraId="41D88CDB" w14:textId="77777777" w:rsidTr="00816B09">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000000" w:themeColor="text1"/>
              <w:bottom w:val="nil"/>
            </w:tcBorders>
          </w:tcPr>
          <w:p w14:paraId="2BD2C8C9" w14:textId="77777777" w:rsidR="00DA7C3A" w:rsidRPr="009A20D7" w:rsidRDefault="00DA7C3A" w:rsidP="00816B09">
            <w:pPr>
              <w:pStyle w:val="NoSpacing"/>
              <w:rPr>
                <w:rFonts w:asciiTheme="majorHAnsi" w:hAnsiTheme="majorHAnsi" w:cstheme="majorHAnsi"/>
              </w:rPr>
            </w:pPr>
          </w:p>
        </w:tc>
        <w:tc>
          <w:tcPr>
            <w:tcW w:w="2410" w:type="dxa"/>
            <w:tcBorders>
              <w:top w:val="nil"/>
              <w:bottom w:val="nil"/>
            </w:tcBorders>
          </w:tcPr>
          <w:p w14:paraId="506D9FBC" w14:textId="77777777"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Videregående - øvrige</w:t>
            </w:r>
          </w:p>
        </w:tc>
        <w:tc>
          <w:tcPr>
            <w:tcW w:w="1559" w:type="dxa"/>
            <w:tcBorders>
              <w:top w:val="nil"/>
              <w:bottom w:val="nil"/>
            </w:tcBorders>
          </w:tcPr>
          <w:p w14:paraId="1895CB89" w14:textId="77777777"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35</w:t>
            </w:r>
          </w:p>
        </w:tc>
        <w:tc>
          <w:tcPr>
            <w:tcW w:w="2992" w:type="dxa"/>
            <w:tcBorders>
              <w:top w:val="nil"/>
              <w:bottom w:val="nil"/>
            </w:tcBorders>
          </w:tcPr>
          <w:p w14:paraId="45AE1140" w14:textId="77777777"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24.150</w:t>
            </w:r>
          </w:p>
        </w:tc>
      </w:tr>
      <w:tr w:rsidR="00DA7C3A" w14:paraId="25C117D1" w14:textId="77777777" w:rsidTr="00816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top w:val="nil"/>
              <w:bottom w:val="single" w:sz="4" w:space="0" w:color="auto"/>
            </w:tcBorders>
          </w:tcPr>
          <w:p w14:paraId="2BA087C6" w14:textId="77777777" w:rsidR="00DA7C3A" w:rsidRPr="009A20D7" w:rsidRDefault="00DA7C3A" w:rsidP="00816B09">
            <w:pPr>
              <w:pStyle w:val="NoSpacing"/>
              <w:rPr>
                <w:rFonts w:asciiTheme="majorHAnsi" w:hAnsiTheme="majorHAnsi" w:cstheme="majorHAnsi"/>
              </w:rPr>
            </w:pPr>
          </w:p>
        </w:tc>
        <w:tc>
          <w:tcPr>
            <w:tcW w:w="2410" w:type="dxa"/>
            <w:tcBorders>
              <w:top w:val="nil"/>
              <w:bottom w:val="single" w:sz="4" w:space="0" w:color="auto"/>
            </w:tcBorders>
          </w:tcPr>
          <w:p w14:paraId="48858514" w14:textId="77777777"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Erhvervsfaglig</w:t>
            </w:r>
          </w:p>
        </w:tc>
        <w:tc>
          <w:tcPr>
            <w:tcW w:w="1559" w:type="dxa"/>
            <w:tcBorders>
              <w:top w:val="nil"/>
              <w:bottom w:val="single" w:sz="4" w:space="0" w:color="auto"/>
            </w:tcBorders>
          </w:tcPr>
          <w:p w14:paraId="454F3B6A" w14:textId="77777777"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19</w:t>
            </w:r>
          </w:p>
        </w:tc>
        <w:tc>
          <w:tcPr>
            <w:tcW w:w="2992" w:type="dxa"/>
            <w:tcBorders>
              <w:top w:val="nil"/>
              <w:bottom w:val="single" w:sz="4" w:space="0" w:color="auto"/>
            </w:tcBorders>
          </w:tcPr>
          <w:p w14:paraId="0BA7219C" w14:textId="3EBCC467"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13.110     </w:t>
            </w:r>
          </w:p>
        </w:tc>
      </w:tr>
      <w:tr w:rsidR="00DA7C3A" w14:paraId="6F9ED3C9" w14:textId="77777777" w:rsidTr="00816B09">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tcPr>
          <w:p w14:paraId="7BBB84F7" w14:textId="77777777" w:rsidR="00DA7C3A" w:rsidRPr="009A20D7" w:rsidRDefault="00DA7C3A" w:rsidP="00816B09">
            <w:pPr>
              <w:pStyle w:val="NoSpacing"/>
              <w:rPr>
                <w:rFonts w:asciiTheme="majorHAnsi" w:hAnsiTheme="majorHAnsi" w:cstheme="majorHAnsi"/>
              </w:rPr>
            </w:pPr>
            <w:r w:rsidRPr="009A20D7">
              <w:rPr>
                <w:rFonts w:asciiTheme="majorHAnsi" w:hAnsiTheme="majorHAnsi" w:cstheme="majorHAnsi"/>
              </w:rPr>
              <w:t xml:space="preserve">Ikke </w:t>
            </w:r>
            <w:proofErr w:type="spellStart"/>
            <w:r w:rsidRPr="009A20D7">
              <w:rPr>
                <w:rFonts w:asciiTheme="majorHAnsi" w:hAnsiTheme="majorHAnsi" w:cstheme="majorHAnsi"/>
              </w:rPr>
              <w:t>kompetence-givende</w:t>
            </w:r>
            <w:proofErr w:type="spellEnd"/>
          </w:p>
        </w:tc>
        <w:tc>
          <w:tcPr>
            <w:tcW w:w="2410" w:type="dxa"/>
            <w:tcBorders>
              <w:top w:val="single" w:sz="4" w:space="0" w:color="auto"/>
            </w:tcBorders>
          </w:tcPr>
          <w:p w14:paraId="63E8E1FA" w14:textId="77777777"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Gymnasial </w:t>
            </w:r>
          </w:p>
        </w:tc>
        <w:tc>
          <w:tcPr>
            <w:tcW w:w="1559" w:type="dxa"/>
            <w:tcBorders>
              <w:top w:val="single" w:sz="4" w:space="0" w:color="auto"/>
            </w:tcBorders>
          </w:tcPr>
          <w:p w14:paraId="78322389" w14:textId="1417FDA6"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5</w:t>
            </w:r>
          </w:p>
        </w:tc>
        <w:tc>
          <w:tcPr>
            <w:tcW w:w="2992" w:type="dxa"/>
            <w:tcBorders>
              <w:top w:val="single" w:sz="4" w:space="0" w:color="auto"/>
            </w:tcBorders>
          </w:tcPr>
          <w:p w14:paraId="368A384E" w14:textId="6F668252" w:rsidR="00DA7C3A" w:rsidRPr="009A20D7" w:rsidRDefault="00CF4A08"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5.420</w:t>
            </w:r>
          </w:p>
        </w:tc>
      </w:tr>
      <w:tr w:rsidR="00DA7C3A" w14:paraId="4308D709" w14:textId="77777777" w:rsidTr="00816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3B2FC2DA" w14:textId="77777777" w:rsidR="00DA7C3A" w:rsidRPr="009A20D7" w:rsidRDefault="00DA7C3A" w:rsidP="00816B09">
            <w:pPr>
              <w:pStyle w:val="NoSpacing"/>
              <w:rPr>
                <w:rFonts w:asciiTheme="majorHAnsi" w:hAnsiTheme="majorHAnsi" w:cstheme="majorHAnsi"/>
              </w:rPr>
            </w:pPr>
          </w:p>
        </w:tc>
        <w:tc>
          <w:tcPr>
            <w:tcW w:w="2410" w:type="dxa"/>
          </w:tcPr>
          <w:p w14:paraId="3252F059" w14:textId="77777777"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STU og KUU</w:t>
            </w:r>
          </w:p>
        </w:tc>
        <w:tc>
          <w:tcPr>
            <w:tcW w:w="1559" w:type="dxa"/>
          </w:tcPr>
          <w:p w14:paraId="32DB674A" w14:textId="77777777"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2</w:t>
            </w:r>
          </w:p>
        </w:tc>
        <w:tc>
          <w:tcPr>
            <w:tcW w:w="2992" w:type="dxa"/>
          </w:tcPr>
          <w:p w14:paraId="26165D5F" w14:textId="061DB87C" w:rsidR="00DA7C3A" w:rsidRPr="009A20D7" w:rsidRDefault="00DA7C3A" w:rsidP="00816B09">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1.380     </w:t>
            </w:r>
          </w:p>
        </w:tc>
      </w:tr>
      <w:tr w:rsidR="00DA7C3A" w14:paraId="356DD0B6" w14:textId="77777777" w:rsidTr="00816B09">
        <w:tc>
          <w:tcPr>
            <w:cnfStyle w:val="001000000000" w:firstRow="0" w:lastRow="0" w:firstColumn="1" w:lastColumn="0" w:oddVBand="0" w:evenVBand="0" w:oddHBand="0" w:evenHBand="0" w:firstRowFirstColumn="0" w:firstRowLastColumn="0" w:lastRowFirstColumn="0" w:lastRowLastColumn="0"/>
            <w:tcW w:w="1980" w:type="dxa"/>
            <w:vMerge/>
          </w:tcPr>
          <w:p w14:paraId="452E3FB9" w14:textId="77777777" w:rsidR="00DA7C3A" w:rsidRPr="009A20D7" w:rsidRDefault="00DA7C3A" w:rsidP="00816B09">
            <w:pPr>
              <w:pStyle w:val="NoSpacing"/>
              <w:rPr>
                <w:rFonts w:asciiTheme="majorHAnsi" w:hAnsiTheme="majorHAnsi" w:cstheme="majorHAnsi"/>
              </w:rPr>
            </w:pPr>
          </w:p>
        </w:tc>
        <w:tc>
          <w:tcPr>
            <w:tcW w:w="2410" w:type="dxa"/>
          </w:tcPr>
          <w:p w14:paraId="1A4F72AD" w14:textId="77777777"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Ingen uddannelse</w:t>
            </w:r>
          </w:p>
        </w:tc>
        <w:tc>
          <w:tcPr>
            <w:tcW w:w="1559" w:type="dxa"/>
          </w:tcPr>
          <w:p w14:paraId="74EF21D9" w14:textId="77777777"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9</w:t>
            </w:r>
          </w:p>
        </w:tc>
        <w:tc>
          <w:tcPr>
            <w:tcW w:w="2992" w:type="dxa"/>
          </w:tcPr>
          <w:p w14:paraId="14F27B38" w14:textId="604E98FC" w:rsidR="00DA7C3A" w:rsidRPr="009A20D7" w:rsidRDefault="00DA7C3A" w:rsidP="00816B0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A20D7">
              <w:rPr>
                <w:rFonts w:asciiTheme="majorHAnsi" w:hAnsiTheme="majorHAnsi" w:cstheme="majorHAnsi"/>
              </w:rPr>
              <w:t xml:space="preserve">6.210     </w:t>
            </w:r>
          </w:p>
        </w:tc>
      </w:tr>
    </w:tbl>
    <w:p w14:paraId="50ECA6E4" w14:textId="2C5767FC" w:rsidR="00DA7C3A" w:rsidRPr="006A0FEA" w:rsidRDefault="00DA7C3A" w:rsidP="00DA7C3A">
      <w:pPr>
        <w:pStyle w:val="NoSpacing"/>
        <w:rPr>
          <w:rFonts w:ascii="Verdana" w:hAnsi="Verdana"/>
          <w:i/>
          <w:sz w:val="20"/>
        </w:rPr>
      </w:pPr>
      <w:proofErr w:type="spellStart"/>
      <w:r w:rsidRPr="006A0FEA">
        <w:rPr>
          <w:rFonts w:ascii="Verdana" w:hAnsi="Verdana"/>
          <w:i/>
          <w:sz w:val="20"/>
        </w:rPr>
        <w:t>Anm</w:t>
      </w:r>
      <w:proofErr w:type="spellEnd"/>
      <w:r w:rsidRPr="006A0FEA">
        <w:rPr>
          <w:rFonts w:ascii="Verdana" w:hAnsi="Verdana"/>
          <w:i/>
          <w:sz w:val="20"/>
        </w:rPr>
        <w:t>: Antal af gennemsnitlig ungdomsårgang bygger på tal fra Danmarks Statistiks befolkningsfremskrivning, Tabel FRDK117, som viser at en gennemsnitsårgang frem mod 2060 udgøres af ca. 69.000 personer. Oplysningerne fra profilmodellen er ændr</w:t>
      </w:r>
      <w:r w:rsidR="00586E84">
        <w:rPr>
          <w:rFonts w:ascii="Verdana" w:hAnsi="Verdana"/>
          <w:i/>
          <w:sz w:val="20"/>
        </w:rPr>
        <w:t>et således, at der fremover er 1</w:t>
      </w:r>
      <w:r w:rsidRPr="006A0FEA">
        <w:rPr>
          <w:rFonts w:ascii="Verdana" w:hAnsi="Verdana"/>
          <w:i/>
          <w:sz w:val="20"/>
        </w:rPr>
        <w:t xml:space="preserve">00 flere, der får en lang </w:t>
      </w:r>
      <w:r w:rsidR="00586E84">
        <w:rPr>
          <w:rFonts w:ascii="Verdana" w:hAnsi="Verdana"/>
          <w:i/>
          <w:sz w:val="20"/>
        </w:rPr>
        <w:t>videreuddannelse, mens der er 1</w:t>
      </w:r>
      <w:r w:rsidRPr="006A0FEA">
        <w:rPr>
          <w:rFonts w:ascii="Verdana" w:hAnsi="Verdana"/>
          <w:i/>
          <w:sz w:val="20"/>
        </w:rPr>
        <w:t>00 færre, som højest opnår en gymnasial uddannelse.</w:t>
      </w:r>
    </w:p>
    <w:p w14:paraId="21CB4B54" w14:textId="50344A9F" w:rsidR="00DA7C3A" w:rsidRPr="006A0FEA" w:rsidRDefault="00DA7C3A" w:rsidP="00DA7C3A">
      <w:pPr>
        <w:pStyle w:val="NoSpacing"/>
        <w:rPr>
          <w:rFonts w:ascii="Verdana" w:hAnsi="Verdana"/>
          <w:i/>
          <w:sz w:val="20"/>
        </w:rPr>
      </w:pPr>
      <w:r w:rsidRPr="006A0FEA">
        <w:rPr>
          <w:rFonts w:ascii="Verdana" w:hAnsi="Verdana"/>
          <w:i/>
          <w:sz w:val="20"/>
        </w:rPr>
        <w:t xml:space="preserve">Kilde: </w:t>
      </w:r>
      <w:sdt>
        <w:sdtPr>
          <w:rPr>
            <w:rFonts w:ascii="Verdana" w:hAnsi="Verdana"/>
            <w:i/>
            <w:sz w:val="20"/>
          </w:rPr>
          <w:id w:val="1769428661"/>
          <w:citation/>
        </w:sdtPr>
        <w:sdtEndPr/>
        <w:sdtContent>
          <w:r w:rsidRPr="006A0FEA">
            <w:rPr>
              <w:rFonts w:ascii="Verdana" w:hAnsi="Verdana"/>
              <w:i/>
              <w:sz w:val="20"/>
            </w:rPr>
            <w:fldChar w:fldCharType="begin"/>
          </w:r>
          <w:r w:rsidRPr="006A0FEA">
            <w:rPr>
              <w:rFonts w:ascii="Verdana" w:hAnsi="Verdana"/>
              <w:i/>
              <w:sz w:val="20"/>
            </w:rPr>
            <w:instrText xml:space="preserve"> CITATION Und17 \l 1030 </w:instrText>
          </w:r>
          <w:r w:rsidRPr="006A0FEA">
            <w:rPr>
              <w:rFonts w:ascii="Verdana" w:hAnsi="Verdana"/>
              <w:i/>
              <w:sz w:val="20"/>
            </w:rPr>
            <w:fldChar w:fldCharType="separate"/>
          </w:r>
          <w:r w:rsidR="006A0FEA" w:rsidRPr="006A0FEA">
            <w:rPr>
              <w:rFonts w:ascii="Verdana" w:hAnsi="Verdana"/>
              <w:noProof/>
              <w:sz w:val="20"/>
            </w:rPr>
            <w:t>(Undervisningsministeriet, 2017)</w:t>
          </w:r>
          <w:r w:rsidRPr="006A0FEA">
            <w:rPr>
              <w:rFonts w:ascii="Verdana" w:hAnsi="Verdana"/>
              <w:i/>
              <w:sz w:val="20"/>
            </w:rPr>
            <w:fldChar w:fldCharType="end"/>
          </w:r>
        </w:sdtContent>
      </w:sdt>
      <w:r w:rsidRPr="006A0FEA">
        <w:rPr>
          <w:rFonts w:ascii="Verdana" w:hAnsi="Verdana"/>
          <w:i/>
          <w:sz w:val="20"/>
        </w:rPr>
        <w:t xml:space="preserve">, </w:t>
      </w:r>
      <w:r w:rsidRPr="006A0FEA">
        <w:rPr>
          <w:rFonts w:ascii="Verdana" w:hAnsi="Verdana"/>
          <w:sz w:val="20"/>
        </w:rPr>
        <w:t>FRDK117, DST samt egne beregninger.</w:t>
      </w:r>
    </w:p>
    <w:p w14:paraId="04933F7A" w14:textId="7302ED3C" w:rsidR="00DA7C3A" w:rsidRDefault="00DA7C3A" w:rsidP="003B439E">
      <w:pPr>
        <w:pStyle w:val="NoSpacing"/>
        <w:rPr>
          <w:rFonts w:ascii="Verdana" w:hAnsi="Verdana"/>
        </w:rPr>
      </w:pPr>
    </w:p>
    <w:p w14:paraId="0C1C52AE" w14:textId="119C4A13" w:rsidR="00452C50" w:rsidRDefault="00620009" w:rsidP="003B439E">
      <w:pPr>
        <w:pStyle w:val="NoSpacing"/>
        <w:rPr>
          <w:rFonts w:ascii="Verdana" w:hAnsi="Verdana"/>
        </w:rPr>
      </w:pPr>
      <w:r>
        <w:rPr>
          <w:rFonts w:ascii="Verdana" w:hAnsi="Verdana"/>
        </w:rPr>
        <w:t xml:space="preserve">I det følgende vil omkostningerne for politikeksperimentet blive udregnet. Udregningen følger den </w:t>
      </w:r>
      <w:r w:rsidR="00193E83">
        <w:rPr>
          <w:rFonts w:ascii="Verdana" w:hAnsi="Verdana"/>
        </w:rPr>
        <w:t>udgiftsoversigt, som</w:t>
      </w:r>
      <w:r>
        <w:rPr>
          <w:rFonts w:ascii="Verdana" w:hAnsi="Verdana"/>
        </w:rPr>
        <w:t xml:space="preserve"> præsenteres i </w:t>
      </w:r>
      <w:r w:rsidR="00DA7C3A">
        <w:rPr>
          <w:rFonts w:ascii="Verdana" w:hAnsi="Verdana"/>
        </w:rPr>
        <w:t>Finansredegørelsen fra 2014</w:t>
      </w:r>
      <w:r w:rsidR="00193E83">
        <w:rPr>
          <w:rFonts w:ascii="Verdana" w:hAnsi="Verdana"/>
        </w:rPr>
        <w:t xml:space="preserve">. Oversigten indeholder </w:t>
      </w:r>
      <w:r w:rsidR="00DA7C3A">
        <w:rPr>
          <w:rFonts w:ascii="Verdana" w:hAnsi="Verdana"/>
        </w:rPr>
        <w:t>tre</w:t>
      </w:r>
      <w:r w:rsidR="00193E83">
        <w:rPr>
          <w:rFonts w:ascii="Verdana" w:hAnsi="Verdana"/>
        </w:rPr>
        <w:t xml:space="preserve"> (umiddelbare)</w:t>
      </w:r>
      <w:r w:rsidR="00DA7C3A">
        <w:rPr>
          <w:rFonts w:ascii="Verdana" w:hAnsi="Verdana"/>
        </w:rPr>
        <w:t xml:space="preserve"> udgifter for det offentlige</w:t>
      </w:r>
      <w:r w:rsidR="00193E83">
        <w:rPr>
          <w:rFonts w:ascii="Verdana" w:hAnsi="Verdana"/>
        </w:rPr>
        <w:t>, når</w:t>
      </w:r>
      <w:r w:rsidR="00DA7C3A">
        <w:rPr>
          <w:rFonts w:ascii="Verdana" w:hAnsi="Verdana"/>
        </w:rPr>
        <w:t xml:space="preserve"> uddannelsesniveau</w:t>
      </w:r>
      <w:r w:rsidR="00193E83">
        <w:rPr>
          <w:rFonts w:ascii="Verdana" w:hAnsi="Verdana"/>
        </w:rPr>
        <w:t>et øges</w:t>
      </w:r>
      <w:r w:rsidR="00DA7C3A">
        <w:rPr>
          <w:rFonts w:ascii="Verdana" w:hAnsi="Verdana"/>
        </w:rPr>
        <w:t>:</w:t>
      </w:r>
    </w:p>
    <w:p w14:paraId="3A868214" w14:textId="7DCB6AF9" w:rsidR="00DA7C3A" w:rsidRDefault="00DA7C3A" w:rsidP="00DA7C3A">
      <w:pPr>
        <w:pStyle w:val="NoSpacing"/>
        <w:numPr>
          <w:ilvl w:val="0"/>
          <w:numId w:val="13"/>
        </w:numPr>
        <w:rPr>
          <w:rFonts w:ascii="Verdana" w:hAnsi="Verdana"/>
        </w:rPr>
      </w:pPr>
      <w:r>
        <w:rPr>
          <w:rFonts w:ascii="Verdana" w:hAnsi="Verdana"/>
        </w:rPr>
        <w:t>Øgede driftsudgifter til uddannelsesinstitutionerne via taxametersystemet</w:t>
      </w:r>
    </w:p>
    <w:p w14:paraId="7FD3BB94" w14:textId="4EB5F3FC" w:rsidR="00DA7C3A" w:rsidRDefault="00DA7C3A" w:rsidP="00DA7C3A">
      <w:pPr>
        <w:pStyle w:val="NoSpacing"/>
        <w:numPr>
          <w:ilvl w:val="0"/>
          <w:numId w:val="13"/>
        </w:numPr>
        <w:rPr>
          <w:rFonts w:ascii="Verdana" w:hAnsi="Verdana"/>
        </w:rPr>
      </w:pPr>
      <w:r>
        <w:rPr>
          <w:rFonts w:ascii="Verdana" w:hAnsi="Verdana"/>
        </w:rPr>
        <w:t>Øgede udgifter til SU</w:t>
      </w:r>
    </w:p>
    <w:p w14:paraId="70AB53DA" w14:textId="5452A7E1" w:rsidR="00DA7C3A" w:rsidRDefault="00DA7C3A" w:rsidP="00DA7C3A">
      <w:pPr>
        <w:pStyle w:val="NoSpacing"/>
        <w:numPr>
          <w:ilvl w:val="0"/>
          <w:numId w:val="13"/>
        </w:numPr>
        <w:rPr>
          <w:rFonts w:ascii="Verdana" w:hAnsi="Verdana"/>
        </w:rPr>
      </w:pPr>
      <w:r>
        <w:rPr>
          <w:rFonts w:ascii="Verdana" w:hAnsi="Verdana"/>
        </w:rPr>
        <w:t xml:space="preserve">Mindre skatteindtægter fra det fald i arbejdsudbuddet, der følger af at unge arbejder mindre, mens de uddanner sig </w:t>
      </w:r>
      <w:sdt>
        <w:sdtPr>
          <w:rPr>
            <w:rFonts w:ascii="Verdana" w:hAnsi="Verdana"/>
          </w:rPr>
          <w:id w:val="-2145878331"/>
          <w:citation/>
        </w:sdtPr>
        <w:sdtEndPr/>
        <w:sdtContent>
          <w:r>
            <w:rPr>
              <w:rFonts w:ascii="Verdana" w:hAnsi="Verdana"/>
            </w:rPr>
            <w:fldChar w:fldCharType="begin"/>
          </w:r>
          <w:r>
            <w:rPr>
              <w:rFonts w:ascii="Verdana" w:hAnsi="Verdana"/>
            </w:rPr>
            <w:instrText xml:space="preserve"> CITATION Fin14 \l 1030 </w:instrText>
          </w:r>
          <w:r>
            <w:rPr>
              <w:rFonts w:ascii="Verdana" w:hAnsi="Verdana"/>
            </w:rPr>
            <w:fldChar w:fldCharType="separate"/>
          </w:r>
          <w:r w:rsidR="006A0FEA" w:rsidRPr="006A0FEA">
            <w:rPr>
              <w:rFonts w:ascii="Verdana" w:hAnsi="Verdana"/>
              <w:noProof/>
            </w:rPr>
            <w:t>(Finansministeriet, 2014)</w:t>
          </w:r>
          <w:r>
            <w:rPr>
              <w:rFonts w:ascii="Verdana" w:hAnsi="Verdana"/>
            </w:rPr>
            <w:fldChar w:fldCharType="end"/>
          </w:r>
        </w:sdtContent>
      </w:sdt>
      <w:r>
        <w:rPr>
          <w:rFonts w:ascii="Verdana" w:hAnsi="Verdana"/>
        </w:rPr>
        <w:t>.</w:t>
      </w:r>
    </w:p>
    <w:p w14:paraId="1002F86F" w14:textId="6EDFB097" w:rsidR="00DA7C3A" w:rsidRDefault="00DA7C3A" w:rsidP="00DA7C3A">
      <w:pPr>
        <w:pStyle w:val="NoSpacing"/>
        <w:rPr>
          <w:rFonts w:ascii="Verdana" w:hAnsi="Verdana"/>
        </w:rPr>
      </w:pPr>
    </w:p>
    <w:p w14:paraId="16867C61" w14:textId="136B06DD" w:rsidR="00DA7C3A" w:rsidRDefault="00DA7C3A" w:rsidP="00DA7C3A">
      <w:pPr>
        <w:pStyle w:val="NoSpacing"/>
        <w:rPr>
          <w:rFonts w:ascii="Verdana" w:hAnsi="Verdana"/>
        </w:rPr>
      </w:pPr>
      <w:r>
        <w:rPr>
          <w:rFonts w:ascii="Verdana" w:hAnsi="Verdana"/>
        </w:rPr>
        <w:t>I det følgende vil omkostningerne for politikeksperimentet blive udregnet punkt for punkt. For alle følgende beregninger tages der udgangspunkt i år 2016, for at sikre konsistens. Det bemærkes, at der beregnes de samlede omkostninger pr. årgang, hvilket svarer til de årlige omkostninger for den offentlige sektor, der er forbundet med uddannelsesløftet.</w:t>
      </w:r>
    </w:p>
    <w:p w14:paraId="419E91BF" w14:textId="77777777" w:rsidR="009A20D7" w:rsidRDefault="009A20D7" w:rsidP="003B439E">
      <w:pPr>
        <w:pStyle w:val="NoSpacing"/>
        <w:rPr>
          <w:rFonts w:ascii="Verdana" w:hAnsi="Verdana"/>
        </w:rPr>
      </w:pPr>
    </w:p>
    <w:p w14:paraId="76DD12BF" w14:textId="6FE7310A" w:rsidR="00DA7C3A" w:rsidRDefault="00DA7C3A" w:rsidP="003B439E">
      <w:pPr>
        <w:pStyle w:val="NoSpacing"/>
        <w:rPr>
          <w:rFonts w:ascii="Verdana" w:hAnsi="Verdana"/>
          <w:i/>
        </w:rPr>
      </w:pPr>
      <w:r>
        <w:rPr>
          <w:rFonts w:ascii="Verdana" w:hAnsi="Verdana"/>
          <w:i/>
        </w:rPr>
        <w:t>Øgede driftsudgifter til uddannelsesinstitutionerne</w:t>
      </w:r>
    </w:p>
    <w:p w14:paraId="135140A0" w14:textId="518C9917" w:rsidR="00DA7C3A" w:rsidRDefault="00DA7C3A" w:rsidP="003B439E">
      <w:pPr>
        <w:pStyle w:val="NoSpacing"/>
        <w:rPr>
          <w:rFonts w:ascii="Verdana" w:hAnsi="Verdana"/>
        </w:rPr>
      </w:pPr>
      <w:r>
        <w:rPr>
          <w:rFonts w:ascii="Verdana" w:hAnsi="Verdana"/>
        </w:rPr>
        <w:t xml:space="preserve">Af </w:t>
      </w:r>
      <w:r w:rsidR="00372EE4">
        <w:rPr>
          <w:rFonts w:ascii="Verdana" w:hAnsi="Verdana"/>
        </w:rPr>
        <w:t xml:space="preserve">forslaget til Finanslov for 2018 </w:t>
      </w:r>
      <w:r>
        <w:rPr>
          <w:rFonts w:ascii="Verdana" w:hAnsi="Verdana"/>
        </w:rPr>
        <w:t>fremgår det, at der i</w:t>
      </w:r>
      <w:r w:rsidR="00372EE4">
        <w:rPr>
          <w:rFonts w:ascii="Verdana" w:hAnsi="Verdana"/>
        </w:rPr>
        <w:t xml:space="preserve"> 2016 i gennemsnit blev givet et uddannelsestilskud pr. årsstuderende på </w:t>
      </w:r>
      <w:r w:rsidR="00E8084D">
        <w:rPr>
          <w:rFonts w:ascii="Verdana" w:hAnsi="Verdana"/>
        </w:rPr>
        <w:t xml:space="preserve">71.100 kr., hvilket i 2016-pl svarer til ca. 68.000 kr. pr årsstuderende. </w:t>
      </w:r>
      <w:r>
        <w:rPr>
          <w:rFonts w:ascii="Verdana" w:hAnsi="Verdana"/>
        </w:rPr>
        <w:t>Uddannelses- og Forskningsministeriet offentliggør årligt de gennemsnitlige overskridelser af den normerede studietid. Heraf fremgår det, at studietiden i 2016 i gennemsnit blev overskredet med 9,3 mdr. på universitetsuddannelserne. I det følgende rundes dette op til 12 mdr. for at få et konservativt</w:t>
      </w:r>
      <w:r w:rsidR="00193E83">
        <w:rPr>
          <w:rFonts w:ascii="Verdana" w:hAnsi="Verdana"/>
        </w:rPr>
        <w:t xml:space="preserve"> s</w:t>
      </w:r>
      <w:r>
        <w:rPr>
          <w:rFonts w:ascii="Verdana" w:hAnsi="Verdana"/>
        </w:rPr>
        <w:t xml:space="preserve">køn. Det vil sige, at den gennemsnitlige driftsomkostning pr. ekstra studerende er </w:t>
      </w:r>
      <w:r w:rsidR="00181F54">
        <w:rPr>
          <w:rFonts w:ascii="Verdana" w:hAnsi="Verdana"/>
        </w:rPr>
        <w:t>408.000</w:t>
      </w:r>
      <w:r>
        <w:rPr>
          <w:rFonts w:ascii="Verdana" w:hAnsi="Verdana"/>
        </w:rPr>
        <w:t xml:space="preserve"> kr., under antagelse af, at studietiden er 6 år. I alt for </w:t>
      </w:r>
      <w:r w:rsidR="002F4981">
        <w:rPr>
          <w:rFonts w:ascii="Verdana" w:hAnsi="Verdana"/>
        </w:rPr>
        <w:t>100</w:t>
      </w:r>
      <w:r>
        <w:rPr>
          <w:rFonts w:ascii="Verdana" w:hAnsi="Verdana"/>
        </w:rPr>
        <w:t xml:space="preserve"> ekstra studerende giver dette ekstra taxameteromkostninger for i alt </w:t>
      </w:r>
      <w:r w:rsidR="002F4981">
        <w:rPr>
          <w:rFonts w:ascii="Verdana" w:hAnsi="Verdana"/>
        </w:rPr>
        <w:t>41</w:t>
      </w:r>
      <w:r>
        <w:rPr>
          <w:rFonts w:ascii="Verdana" w:hAnsi="Verdana"/>
        </w:rPr>
        <w:t xml:space="preserve"> mio. kr. </w:t>
      </w:r>
    </w:p>
    <w:p w14:paraId="5F8ADB05" w14:textId="0F927A24" w:rsidR="00DA7C3A" w:rsidRDefault="00DA7C3A" w:rsidP="003B439E">
      <w:pPr>
        <w:pStyle w:val="NoSpacing"/>
        <w:rPr>
          <w:rFonts w:ascii="Verdana" w:hAnsi="Verdana"/>
        </w:rPr>
      </w:pPr>
    </w:p>
    <w:p w14:paraId="016471D3" w14:textId="2D4F245D" w:rsidR="00DA7C3A" w:rsidRDefault="00DA7C3A" w:rsidP="003B439E">
      <w:pPr>
        <w:pStyle w:val="NoSpacing"/>
        <w:rPr>
          <w:rFonts w:ascii="Verdana" w:hAnsi="Verdana"/>
          <w:i/>
        </w:rPr>
      </w:pPr>
      <w:r>
        <w:rPr>
          <w:rFonts w:ascii="Verdana" w:hAnsi="Verdana"/>
          <w:i/>
        </w:rPr>
        <w:t>Øgede udgifter til SU</w:t>
      </w:r>
    </w:p>
    <w:p w14:paraId="5032DFA6" w14:textId="36996A25" w:rsidR="00DA7C3A" w:rsidRPr="00DA7C3A" w:rsidRDefault="00DA7C3A" w:rsidP="00794750">
      <w:pPr>
        <w:pStyle w:val="NoSpacing"/>
        <w:rPr>
          <w:rFonts w:ascii="Verdana" w:hAnsi="Verdana"/>
        </w:rPr>
      </w:pPr>
      <w:r>
        <w:rPr>
          <w:rFonts w:ascii="Verdana" w:hAnsi="Verdana"/>
        </w:rPr>
        <w:t>Af Finansredegørelsen fra 2014 fremgår det på side 305, at 20 pct. af de studerende på videregående uddannelser ikke modtager SU. Vi antager, at dette niveau også vil holde efter uddannelsesløftet, hvilket vil medføre</w:t>
      </w:r>
      <w:r w:rsidR="00973B28">
        <w:rPr>
          <w:rFonts w:ascii="Verdana" w:hAnsi="Verdana"/>
        </w:rPr>
        <w:t>,</w:t>
      </w:r>
      <w:r>
        <w:rPr>
          <w:rFonts w:ascii="Verdana" w:hAnsi="Verdana"/>
        </w:rPr>
        <w:t xml:space="preserve"> at der kun vil være SU-udgifter for </w:t>
      </w:r>
      <w:r w:rsidR="002F4981">
        <w:rPr>
          <w:rFonts w:ascii="Verdana" w:hAnsi="Verdana"/>
        </w:rPr>
        <w:t>80 af de 100</w:t>
      </w:r>
      <w:r>
        <w:rPr>
          <w:rFonts w:ascii="Verdana" w:hAnsi="Verdana"/>
        </w:rPr>
        <w:t xml:space="preserve"> nye studerende. Det antages, at </w:t>
      </w:r>
      <w:r>
        <w:rPr>
          <w:rFonts w:ascii="Verdana" w:hAnsi="Verdana"/>
        </w:rPr>
        <w:lastRenderedPageBreak/>
        <w:t xml:space="preserve">samtlige af disse studerende vil være udeboende. Af su.dk fremgår det, at satsen </w:t>
      </w:r>
      <w:r w:rsidRPr="00DA7C3A">
        <w:rPr>
          <w:rFonts w:ascii="Verdana" w:hAnsi="Verdana"/>
        </w:rPr>
        <w:t xml:space="preserve">for udeboende på videregående uddannelser </w:t>
      </w:r>
      <w:r w:rsidR="002F4981">
        <w:rPr>
          <w:rFonts w:ascii="Verdana" w:hAnsi="Verdana"/>
        </w:rPr>
        <w:t xml:space="preserve">i 2016 </w:t>
      </w:r>
      <w:r>
        <w:rPr>
          <w:rFonts w:ascii="Verdana" w:hAnsi="Verdana"/>
        </w:rPr>
        <w:t xml:space="preserve">var </w:t>
      </w:r>
      <w:r w:rsidRPr="00DA7C3A">
        <w:rPr>
          <w:rFonts w:ascii="Verdana" w:hAnsi="Verdana"/>
        </w:rPr>
        <w:t>5.941 kr. pr</w:t>
      </w:r>
      <w:r>
        <w:rPr>
          <w:rFonts w:ascii="Verdana" w:hAnsi="Verdana"/>
        </w:rPr>
        <w:t>. måned f</w:t>
      </w:r>
      <w:r w:rsidR="00794750">
        <w:rPr>
          <w:rFonts w:ascii="Verdana" w:hAnsi="Verdana"/>
        </w:rPr>
        <w:t>ø</w:t>
      </w:r>
      <w:r>
        <w:rPr>
          <w:rFonts w:ascii="Verdana" w:hAnsi="Verdana"/>
        </w:rPr>
        <w:t xml:space="preserve">r skat </w:t>
      </w:r>
      <w:sdt>
        <w:sdtPr>
          <w:rPr>
            <w:rFonts w:ascii="Verdana" w:hAnsi="Verdana"/>
          </w:rPr>
          <w:id w:val="1613473137"/>
          <w:citation/>
        </w:sdtPr>
        <w:sdtEndPr/>
        <w:sdtContent>
          <w:r>
            <w:rPr>
              <w:rFonts w:ascii="Verdana" w:hAnsi="Verdana"/>
            </w:rPr>
            <w:fldChar w:fldCharType="begin"/>
          </w:r>
          <w:r>
            <w:rPr>
              <w:rFonts w:ascii="Verdana" w:hAnsi="Verdana"/>
            </w:rPr>
            <w:instrText xml:space="preserve"> CITATION Sty16 \l 1030 </w:instrText>
          </w:r>
          <w:r>
            <w:rPr>
              <w:rFonts w:ascii="Verdana" w:hAnsi="Verdana"/>
            </w:rPr>
            <w:fldChar w:fldCharType="separate"/>
          </w:r>
          <w:r w:rsidR="006A0FEA" w:rsidRPr="006A0FEA">
            <w:rPr>
              <w:rFonts w:ascii="Verdana" w:hAnsi="Verdana"/>
              <w:noProof/>
            </w:rPr>
            <w:t>(Styrelsen for Institutioner og Uddannelsesstøtte, 2016)</w:t>
          </w:r>
          <w:r>
            <w:rPr>
              <w:rFonts w:ascii="Verdana" w:hAnsi="Verdana"/>
            </w:rPr>
            <w:fldChar w:fldCharType="end"/>
          </w:r>
        </w:sdtContent>
      </w:sdt>
      <w:r>
        <w:rPr>
          <w:rFonts w:ascii="Verdana" w:hAnsi="Verdana"/>
        </w:rPr>
        <w:t xml:space="preserve">. Det svarer til 71.292 kr. om året pr. studerende, hvilket i alt </w:t>
      </w:r>
      <w:r w:rsidR="00794750">
        <w:rPr>
          <w:rFonts w:ascii="Verdana" w:hAnsi="Verdana"/>
        </w:rPr>
        <w:t xml:space="preserve">giver </w:t>
      </w:r>
      <w:r w:rsidR="0033361F">
        <w:rPr>
          <w:rFonts w:ascii="Verdana" w:hAnsi="Verdana"/>
        </w:rPr>
        <w:t>34</w:t>
      </w:r>
      <w:r>
        <w:rPr>
          <w:rFonts w:ascii="Verdana" w:hAnsi="Verdana"/>
        </w:rPr>
        <w:t xml:space="preserve"> mio. </w:t>
      </w:r>
      <w:r w:rsidR="00794750">
        <w:rPr>
          <w:rFonts w:ascii="Verdana" w:hAnsi="Verdana"/>
        </w:rPr>
        <w:t xml:space="preserve">kr. </w:t>
      </w:r>
      <w:r>
        <w:rPr>
          <w:rFonts w:ascii="Verdana" w:hAnsi="Verdana"/>
        </w:rPr>
        <w:t>heno</w:t>
      </w:r>
      <w:r w:rsidR="0033361F">
        <w:rPr>
          <w:rFonts w:ascii="Verdana" w:hAnsi="Verdana"/>
        </w:rPr>
        <w:t>ver de 6 års studier for de 80 personer</w:t>
      </w:r>
      <w:r>
        <w:rPr>
          <w:rFonts w:ascii="Verdana" w:hAnsi="Verdana"/>
        </w:rPr>
        <w:t>, der forventes at modtage SU. Dette er dog ikke nettoomkostningen, idet der både skal betales skat af SU’en ligesom der kan forventes tilbageløb i form indtægter fra afgiftspålagt forbrug</w:t>
      </w:r>
      <w:r w:rsidR="00193E83">
        <w:rPr>
          <w:rFonts w:ascii="Verdana" w:hAnsi="Verdana"/>
        </w:rPr>
        <w:t>.</w:t>
      </w:r>
      <w:r>
        <w:rPr>
          <w:rFonts w:ascii="Verdana" w:hAnsi="Verdana"/>
        </w:rPr>
        <w:t xml:space="preserve"> Som det fremgår af Uddannelses- og Forskningsministerens svar på spørgsmål nr. 229 (alm. del) 2015-16 fra d. 26. august 2016, regner ministerierne med at tilbageløb fra skatter og afgifter på ca. 41 pct. af udbetalte SU-midler </w:t>
      </w:r>
      <w:sdt>
        <w:sdtPr>
          <w:rPr>
            <w:rFonts w:ascii="Verdana" w:hAnsi="Verdana"/>
          </w:rPr>
          <w:id w:val="496387672"/>
          <w:citation/>
        </w:sdtPr>
        <w:sdtEndPr/>
        <w:sdtContent>
          <w:r>
            <w:rPr>
              <w:rFonts w:ascii="Verdana" w:hAnsi="Verdana"/>
            </w:rPr>
            <w:fldChar w:fldCharType="begin"/>
          </w:r>
          <w:r>
            <w:rPr>
              <w:rFonts w:ascii="Verdana" w:hAnsi="Verdana"/>
            </w:rPr>
            <w:instrText xml:space="preserve"> CITATION Udd16 \l 1030 </w:instrText>
          </w:r>
          <w:r>
            <w:rPr>
              <w:rFonts w:ascii="Verdana" w:hAnsi="Verdana"/>
            </w:rPr>
            <w:fldChar w:fldCharType="separate"/>
          </w:r>
          <w:r w:rsidR="006A0FEA" w:rsidRPr="006A0FEA">
            <w:rPr>
              <w:rFonts w:ascii="Verdana" w:hAnsi="Verdana"/>
              <w:noProof/>
            </w:rPr>
            <w:t>(Uddannelses- og Forskningsministeriet, 2016)</w:t>
          </w:r>
          <w:r>
            <w:rPr>
              <w:rFonts w:ascii="Verdana" w:hAnsi="Verdana"/>
            </w:rPr>
            <w:fldChar w:fldCharType="end"/>
          </w:r>
        </w:sdtContent>
      </w:sdt>
      <w:r>
        <w:rPr>
          <w:rFonts w:ascii="Verdana" w:hAnsi="Verdana"/>
        </w:rPr>
        <w:t>. Der ses her bort fra adfærdseffekter.</w:t>
      </w:r>
      <w:r w:rsidR="00794750">
        <w:rPr>
          <w:rFonts w:ascii="Verdana" w:hAnsi="Verdana"/>
        </w:rPr>
        <w:t xml:space="preserve"> Beregnes nettoomkostningerne på baggrund af samme tilbageløbsprocent</w:t>
      </w:r>
      <w:r>
        <w:rPr>
          <w:rFonts w:ascii="Verdana" w:hAnsi="Verdana"/>
        </w:rPr>
        <w:t xml:space="preserve">, medfører uddannelsesløftet på </w:t>
      </w:r>
      <w:r w:rsidR="0033361F">
        <w:rPr>
          <w:rFonts w:ascii="Verdana" w:hAnsi="Verdana"/>
        </w:rPr>
        <w:t>100</w:t>
      </w:r>
      <w:r>
        <w:rPr>
          <w:rFonts w:ascii="Verdana" w:hAnsi="Verdana"/>
        </w:rPr>
        <w:t xml:space="preserve"> personer ekst</w:t>
      </w:r>
      <w:r w:rsidR="0033361F">
        <w:rPr>
          <w:rFonts w:ascii="Verdana" w:hAnsi="Verdana"/>
        </w:rPr>
        <w:t>ra SU-omkostninger for i alt 20</w:t>
      </w:r>
      <w:r>
        <w:rPr>
          <w:rFonts w:ascii="Verdana" w:hAnsi="Verdana"/>
        </w:rPr>
        <w:t xml:space="preserve"> mio. kroner årligt.</w:t>
      </w:r>
    </w:p>
    <w:p w14:paraId="50FDA35E" w14:textId="5B148D34" w:rsidR="00DA7C3A" w:rsidRDefault="00DA7C3A" w:rsidP="003B439E">
      <w:pPr>
        <w:pStyle w:val="NoSpacing"/>
        <w:rPr>
          <w:rFonts w:ascii="Verdana" w:hAnsi="Verdana"/>
        </w:rPr>
      </w:pPr>
    </w:p>
    <w:p w14:paraId="3E79FB40" w14:textId="66B70E3C" w:rsidR="00DA7C3A" w:rsidRPr="00DA7C3A" w:rsidRDefault="00DA7C3A" w:rsidP="003B439E">
      <w:pPr>
        <w:pStyle w:val="NoSpacing"/>
        <w:rPr>
          <w:rFonts w:ascii="Verdana" w:hAnsi="Verdana"/>
          <w:i/>
        </w:rPr>
      </w:pPr>
      <w:r>
        <w:rPr>
          <w:rFonts w:ascii="Verdana" w:hAnsi="Verdana"/>
          <w:i/>
        </w:rPr>
        <w:t>Mindre skatteindtægter fra det midlertidige fald arbejdsudbuddet</w:t>
      </w:r>
    </w:p>
    <w:p w14:paraId="6CEA1E99" w14:textId="4D225B91" w:rsidR="009113D6" w:rsidRDefault="00794750" w:rsidP="003B439E">
      <w:pPr>
        <w:pStyle w:val="NoSpacing"/>
        <w:rPr>
          <w:rFonts w:ascii="Verdana" w:hAnsi="Verdana"/>
        </w:rPr>
      </w:pPr>
      <w:r>
        <w:rPr>
          <w:rFonts w:ascii="Verdana" w:hAnsi="Verdana"/>
        </w:rPr>
        <w:t xml:space="preserve">Af Finansredegørelsen fra 2014 fremgår det på side 305, at 65 pct. af de studerende på videregående uddannelser er beskæftigede. Det fremgår ligeledes, at den gennemsnitlige arbejdstid </w:t>
      </w:r>
      <w:r w:rsidR="00193E83">
        <w:rPr>
          <w:rFonts w:ascii="Verdana" w:hAnsi="Verdana"/>
        </w:rPr>
        <w:t xml:space="preserve">for de beskæftigede studerende </w:t>
      </w:r>
      <w:r>
        <w:rPr>
          <w:rFonts w:ascii="Verdana" w:hAnsi="Verdana"/>
        </w:rPr>
        <w:t>er på ca. 70 pct.</w:t>
      </w:r>
      <w:r w:rsidR="00FF07D0">
        <w:rPr>
          <w:rFonts w:ascii="Verdana" w:hAnsi="Verdana"/>
        </w:rPr>
        <w:t xml:space="preserve"> af arbejdstiden for de ordinært beskæftigede </w:t>
      </w:r>
      <w:sdt>
        <w:sdtPr>
          <w:rPr>
            <w:rFonts w:ascii="Verdana" w:hAnsi="Verdana"/>
          </w:rPr>
          <w:id w:val="-429815187"/>
          <w:citation/>
        </w:sdtPr>
        <w:sdtEndPr/>
        <w:sdtContent>
          <w:r w:rsidR="00FF07D0">
            <w:rPr>
              <w:rFonts w:ascii="Verdana" w:hAnsi="Verdana"/>
            </w:rPr>
            <w:fldChar w:fldCharType="begin"/>
          </w:r>
          <w:r w:rsidR="00FF07D0">
            <w:rPr>
              <w:rFonts w:ascii="Verdana" w:hAnsi="Verdana"/>
            </w:rPr>
            <w:instrText xml:space="preserve"> CITATION Fin14 \l 1030 </w:instrText>
          </w:r>
          <w:r w:rsidR="00FF07D0">
            <w:rPr>
              <w:rFonts w:ascii="Verdana" w:hAnsi="Verdana"/>
            </w:rPr>
            <w:fldChar w:fldCharType="separate"/>
          </w:r>
          <w:r w:rsidR="006A0FEA" w:rsidRPr="006A0FEA">
            <w:rPr>
              <w:rFonts w:ascii="Verdana" w:hAnsi="Verdana"/>
              <w:noProof/>
            </w:rPr>
            <w:t>(Finansministeriet, 2014)</w:t>
          </w:r>
          <w:r w:rsidR="00FF07D0">
            <w:rPr>
              <w:rFonts w:ascii="Verdana" w:hAnsi="Verdana"/>
            </w:rPr>
            <w:fldChar w:fldCharType="end"/>
          </w:r>
        </w:sdtContent>
      </w:sdt>
      <w:r w:rsidR="00FF07D0">
        <w:rPr>
          <w:rFonts w:ascii="Verdana" w:hAnsi="Verdana"/>
        </w:rPr>
        <w:t>. Vi antager,</w:t>
      </w:r>
      <w:r w:rsidR="00AF2E6E">
        <w:rPr>
          <w:rFonts w:ascii="Verdana" w:hAnsi="Verdana"/>
        </w:rPr>
        <w:t xml:space="preserve"> forsimplende, at samtlige 100</w:t>
      </w:r>
      <w:r w:rsidR="00FF07D0">
        <w:rPr>
          <w:rFonts w:ascii="Verdana" w:hAnsi="Verdana"/>
        </w:rPr>
        <w:t xml:space="preserve"> studerende havde været i ordinær beskæftigelse, hvis ikke </w:t>
      </w:r>
      <w:r w:rsidR="00A94385">
        <w:rPr>
          <w:rFonts w:ascii="Verdana" w:hAnsi="Verdana"/>
        </w:rPr>
        <w:t xml:space="preserve">de </w:t>
      </w:r>
      <w:r w:rsidR="00FF07D0">
        <w:rPr>
          <w:rFonts w:ascii="Verdana" w:hAnsi="Verdana"/>
        </w:rPr>
        <w:t xml:space="preserve">var påbegyndt den lange videregående uddannelse. Denne antagelse er med til at gøre estimatet konservativt, idet ca. 10 pct., jf. Finansredegørelsen fra 2014, ikke forventes at have ordinær beskæftigelse som alternativ til studiet. </w:t>
      </w:r>
    </w:p>
    <w:p w14:paraId="1C452B9B" w14:textId="77777777" w:rsidR="00193E83" w:rsidRDefault="00193E83" w:rsidP="003B439E">
      <w:pPr>
        <w:pStyle w:val="NoSpacing"/>
        <w:rPr>
          <w:rFonts w:ascii="Verdana" w:hAnsi="Verdana"/>
        </w:rPr>
      </w:pPr>
    </w:p>
    <w:p w14:paraId="1A268FAE" w14:textId="4E5BAAA2" w:rsidR="00FF07D0" w:rsidRDefault="00FF07D0" w:rsidP="003B439E">
      <w:pPr>
        <w:pStyle w:val="NoSpacing"/>
        <w:rPr>
          <w:rFonts w:ascii="Verdana" w:hAnsi="Verdana"/>
        </w:rPr>
      </w:pPr>
      <w:r>
        <w:rPr>
          <w:rFonts w:ascii="Verdana" w:hAnsi="Verdana"/>
        </w:rPr>
        <w:t xml:space="preserve">På baggrund af ovenstående </w:t>
      </w:r>
      <w:r w:rsidR="007B4043">
        <w:rPr>
          <w:rFonts w:ascii="Verdana" w:hAnsi="Verdana"/>
        </w:rPr>
        <w:t>gælder det,</w:t>
      </w:r>
      <w:r>
        <w:rPr>
          <w:rFonts w:ascii="Verdana" w:hAnsi="Verdana"/>
        </w:rPr>
        <w:t xml:space="preserve"> at uddannelsesløftet medfører et midlertidigt fald i arbejdsudbuddet, og dermed beskæftigelsen, i følgende omfang:</w:t>
      </w:r>
    </w:p>
    <w:p w14:paraId="5C95A0BD" w14:textId="55F74847" w:rsidR="00FF07D0" w:rsidRDefault="00FF07D0" w:rsidP="00FF07D0">
      <w:pPr>
        <w:pStyle w:val="NoSpacing"/>
        <w:numPr>
          <w:ilvl w:val="0"/>
          <w:numId w:val="13"/>
        </w:numPr>
        <w:rPr>
          <w:rFonts w:ascii="Verdana" w:hAnsi="Verdana"/>
        </w:rPr>
      </w:pPr>
      <w:r>
        <w:rPr>
          <w:rFonts w:ascii="Verdana" w:hAnsi="Verdana"/>
        </w:rPr>
        <w:t>65 p</w:t>
      </w:r>
      <w:r w:rsidR="00AF2E6E">
        <w:rPr>
          <w:rFonts w:ascii="Verdana" w:hAnsi="Verdana"/>
        </w:rPr>
        <w:t>ct. (dvs. 65</w:t>
      </w:r>
      <w:r>
        <w:rPr>
          <w:rFonts w:ascii="Verdana" w:hAnsi="Verdana"/>
        </w:rPr>
        <w:t xml:space="preserve"> personer) arbejder 30 pct. mindre end deres jævnaldrende.</w:t>
      </w:r>
    </w:p>
    <w:p w14:paraId="301E02CE" w14:textId="4200D71F" w:rsidR="00FF07D0" w:rsidRDefault="00AF2E6E" w:rsidP="00FF07D0">
      <w:pPr>
        <w:pStyle w:val="NoSpacing"/>
        <w:numPr>
          <w:ilvl w:val="0"/>
          <w:numId w:val="13"/>
        </w:numPr>
        <w:rPr>
          <w:rFonts w:ascii="Verdana" w:hAnsi="Verdana"/>
        </w:rPr>
      </w:pPr>
      <w:r>
        <w:rPr>
          <w:rFonts w:ascii="Verdana" w:hAnsi="Verdana"/>
        </w:rPr>
        <w:t>35 pct. (dvs. 35</w:t>
      </w:r>
      <w:r w:rsidR="00FF07D0">
        <w:rPr>
          <w:rFonts w:ascii="Verdana" w:hAnsi="Verdana"/>
        </w:rPr>
        <w:t xml:space="preserve"> personer) arbejder 100 pct. mindre end deres jævnaldrende. </w:t>
      </w:r>
    </w:p>
    <w:p w14:paraId="5CECEA05" w14:textId="77777777" w:rsidR="00FF07D0" w:rsidRDefault="00FF07D0" w:rsidP="00FF07D0">
      <w:pPr>
        <w:pStyle w:val="NoSpacing"/>
        <w:ind w:left="720"/>
        <w:rPr>
          <w:rFonts w:ascii="Verdana" w:hAnsi="Verdana"/>
        </w:rPr>
      </w:pPr>
    </w:p>
    <w:p w14:paraId="427B2782" w14:textId="35080B02" w:rsidR="00FF07D0" w:rsidRDefault="00FF07D0" w:rsidP="00FF07D0">
      <w:pPr>
        <w:pStyle w:val="NoSpacing"/>
        <w:rPr>
          <w:rFonts w:ascii="Verdana" w:hAnsi="Verdana"/>
        </w:rPr>
      </w:pPr>
      <w:r>
        <w:rPr>
          <w:rFonts w:ascii="Verdana" w:hAnsi="Verdana"/>
        </w:rPr>
        <w:t>Dette svarer til en årlig n</w:t>
      </w:r>
      <w:r w:rsidR="00AF2E6E">
        <w:rPr>
          <w:rFonts w:ascii="Verdana" w:hAnsi="Verdana"/>
        </w:rPr>
        <w:t>edgang i beskæftigelsen på 55</w:t>
      </w:r>
      <w:r>
        <w:rPr>
          <w:rFonts w:ascii="Verdana" w:hAnsi="Verdana"/>
        </w:rPr>
        <w:t xml:space="preserve"> personer pr. år</w:t>
      </w:r>
      <w:r w:rsidR="00A94385">
        <w:rPr>
          <w:rFonts w:ascii="Verdana" w:hAnsi="Verdana"/>
        </w:rPr>
        <w:t xml:space="preserve">, hvor ’personer’ her ikke angiver fuldtidspersoner men den </w:t>
      </w:r>
      <w:r w:rsidR="00A43D40">
        <w:rPr>
          <w:rFonts w:ascii="Verdana" w:hAnsi="Verdana"/>
        </w:rPr>
        <w:t>arbejdstid,</w:t>
      </w:r>
      <w:r w:rsidR="00A94385">
        <w:rPr>
          <w:rFonts w:ascii="Verdana" w:hAnsi="Verdana"/>
        </w:rPr>
        <w:t xml:space="preserve"> der er gældende </w:t>
      </w:r>
      <w:r w:rsidR="00A43D40">
        <w:rPr>
          <w:rFonts w:ascii="Verdana" w:hAnsi="Verdana"/>
        </w:rPr>
        <w:t xml:space="preserve">for ordinært beskæftigede i den samme aldersgruppe. </w:t>
      </w:r>
      <w:r>
        <w:rPr>
          <w:rFonts w:ascii="Verdana" w:hAnsi="Verdana"/>
        </w:rPr>
        <w:t>Eftersom uddannelseslængden er antaget at være 6 år, mister det offentlige dermed skatteindtæg</w:t>
      </w:r>
      <w:r w:rsidR="00AF2E6E">
        <w:rPr>
          <w:rFonts w:ascii="Verdana" w:hAnsi="Verdana"/>
        </w:rPr>
        <w:t>ter fra det der svarer til 327</w:t>
      </w:r>
      <w:r>
        <w:rPr>
          <w:rFonts w:ascii="Verdana" w:hAnsi="Verdana"/>
        </w:rPr>
        <w:t xml:space="preserve"> personer som konsekvens af uddannelsesløftet.</w:t>
      </w:r>
      <w:r w:rsidR="00D81AAB">
        <w:rPr>
          <w:rFonts w:ascii="Verdana" w:hAnsi="Verdana"/>
        </w:rPr>
        <w:t xml:space="preserve"> </w:t>
      </w:r>
    </w:p>
    <w:p w14:paraId="05C76376" w14:textId="77777777" w:rsidR="00CE6007" w:rsidRDefault="00CE6007" w:rsidP="00FF07D0">
      <w:pPr>
        <w:pStyle w:val="NoSpacing"/>
        <w:rPr>
          <w:rFonts w:ascii="Verdana" w:hAnsi="Verdana"/>
        </w:rPr>
      </w:pPr>
    </w:p>
    <w:p w14:paraId="4907D5F8" w14:textId="42359AC0" w:rsidR="00CE6007" w:rsidRDefault="002C03E5" w:rsidP="00FF07D0">
      <w:pPr>
        <w:pStyle w:val="NoSpacing"/>
        <w:rPr>
          <w:rFonts w:ascii="Verdana" w:hAnsi="Verdana"/>
        </w:rPr>
      </w:pPr>
      <w:r>
        <w:rPr>
          <w:rFonts w:ascii="Verdana" w:hAnsi="Verdana"/>
        </w:rPr>
        <w:t>I Finansredegørelsen fra 2014 fremgår det, som nævnt, at arbejdstiden er sammenlignelig med ordinært beskæftigede i samme aldersgruppe. Det antages endvidere, at den relevante aldersgruppe er 25-29-årige, ligesom det antages</w:t>
      </w:r>
      <w:r w:rsidR="007952DD">
        <w:rPr>
          <w:rFonts w:ascii="Verdana" w:hAnsi="Verdana"/>
        </w:rPr>
        <w:t>,</w:t>
      </w:r>
      <w:r>
        <w:rPr>
          <w:rFonts w:ascii="Verdana" w:hAnsi="Verdana"/>
        </w:rPr>
        <w:t xml:space="preserve"> at den a</w:t>
      </w:r>
      <w:r w:rsidR="004A09B9">
        <w:rPr>
          <w:rFonts w:ascii="Verdana" w:hAnsi="Verdana"/>
        </w:rPr>
        <w:t>lternative indkomst for de 327</w:t>
      </w:r>
      <w:r>
        <w:rPr>
          <w:rFonts w:ascii="Verdana" w:hAnsi="Verdana"/>
        </w:rPr>
        <w:t xml:space="preserve"> mindre beskæftigede, som uddannelsesløftet giver anledning til, ville have været lig </w:t>
      </w:r>
      <w:r>
        <w:rPr>
          <w:rFonts w:ascii="Verdana" w:hAnsi="Verdana"/>
        </w:rPr>
        <w:lastRenderedPageBreak/>
        <w:t>gennemsnitsindkomsten for denne aldersgruppe. Ifølge Danmarks Statistik var i</w:t>
      </w:r>
      <w:r w:rsidR="00CE6007">
        <w:rPr>
          <w:rFonts w:ascii="Verdana" w:hAnsi="Verdana"/>
        </w:rPr>
        <w:t>ndkomsten for aldersgruppen 25-</w:t>
      </w:r>
      <w:r>
        <w:rPr>
          <w:rFonts w:ascii="Verdana" w:hAnsi="Verdana"/>
        </w:rPr>
        <w:t>29-årige</w:t>
      </w:r>
      <w:r w:rsidR="00CE6007">
        <w:rPr>
          <w:rFonts w:ascii="Verdana" w:hAnsi="Verdana"/>
        </w:rPr>
        <w:t xml:space="preserve"> i 2016 230.000 kr. </w:t>
      </w:r>
      <w:sdt>
        <w:sdtPr>
          <w:rPr>
            <w:rFonts w:ascii="Verdana" w:hAnsi="Verdana"/>
          </w:rPr>
          <w:id w:val="427316875"/>
          <w:citation/>
        </w:sdtPr>
        <w:sdtEndPr/>
        <w:sdtContent>
          <w:r>
            <w:rPr>
              <w:rFonts w:ascii="Verdana" w:hAnsi="Verdana"/>
            </w:rPr>
            <w:fldChar w:fldCharType="begin"/>
          </w:r>
          <w:r w:rsidR="00A65878">
            <w:rPr>
              <w:rFonts w:ascii="Verdana" w:hAnsi="Verdana"/>
            </w:rPr>
            <w:instrText xml:space="preserve">CITATION Dan173 \l 1030 </w:instrText>
          </w:r>
          <w:r>
            <w:rPr>
              <w:rFonts w:ascii="Verdana" w:hAnsi="Verdana"/>
            </w:rPr>
            <w:fldChar w:fldCharType="separate"/>
          </w:r>
          <w:r w:rsidR="006A0FEA" w:rsidRPr="006A0FEA">
            <w:rPr>
              <w:rFonts w:ascii="Verdana" w:hAnsi="Verdana"/>
              <w:noProof/>
            </w:rPr>
            <w:t>(Danmarks Statistik II, 2017)</w:t>
          </w:r>
          <w:r>
            <w:rPr>
              <w:rFonts w:ascii="Verdana" w:hAnsi="Verdana"/>
            </w:rPr>
            <w:fldChar w:fldCharType="end"/>
          </w:r>
        </w:sdtContent>
      </w:sdt>
      <w:r>
        <w:rPr>
          <w:rFonts w:ascii="Verdana" w:hAnsi="Verdana"/>
        </w:rPr>
        <w:t>.</w:t>
      </w:r>
    </w:p>
    <w:p w14:paraId="1766BF0C" w14:textId="2FC5146F" w:rsidR="002C03E5" w:rsidRDefault="002C03E5" w:rsidP="00FF07D0">
      <w:pPr>
        <w:pStyle w:val="NoSpacing"/>
        <w:rPr>
          <w:rFonts w:ascii="Verdana" w:hAnsi="Verdana"/>
        </w:rPr>
      </w:pPr>
    </w:p>
    <w:p w14:paraId="36ADC269" w14:textId="49F5D7D8" w:rsidR="002C03E5" w:rsidRDefault="002C03E5" w:rsidP="00FF07D0">
      <w:pPr>
        <w:pStyle w:val="NoSpacing"/>
        <w:rPr>
          <w:rFonts w:ascii="Verdana" w:hAnsi="Verdana"/>
        </w:rPr>
      </w:pPr>
      <w:r>
        <w:rPr>
          <w:rFonts w:ascii="Verdana" w:hAnsi="Verdana"/>
        </w:rPr>
        <w:t>Herunder foretages et groft overslag over de tabte skatte- og afgiftsindtægter, som det offentlige oplever som konsekvens af uddannelsesløftet:</w:t>
      </w:r>
    </w:p>
    <w:p w14:paraId="1CD916D5" w14:textId="3C42BCB9" w:rsidR="007D0A51" w:rsidRDefault="00CE6007" w:rsidP="00CE6007">
      <w:pPr>
        <w:pStyle w:val="NoSpacing"/>
        <w:numPr>
          <w:ilvl w:val="0"/>
          <w:numId w:val="13"/>
        </w:numPr>
        <w:rPr>
          <w:rFonts w:ascii="Verdana" w:hAnsi="Verdana"/>
        </w:rPr>
      </w:pPr>
      <w:r>
        <w:rPr>
          <w:rFonts w:ascii="Verdana" w:hAnsi="Verdana"/>
        </w:rPr>
        <w:t>Det antages</w:t>
      </w:r>
      <w:r w:rsidR="002C03E5">
        <w:rPr>
          <w:rFonts w:ascii="Verdana" w:hAnsi="Verdana"/>
        </w:rPr>
        <w:t>, at de</w:t>
      </w:r>
      <w:r w:rsidR="007D0A51">
        <w:rPr>
          <w:rFonts w:ascii="Verdana" w:hAnsi="Verdana"/>
        </w:rPr>
        <w:t>n</w:t>
      </w:r>
      <w:r>
        <w:rPr>
          <w:rFonts w:ascii="Verdana" w:hAnsi="Verdana"/>
        </w:rPr>
        <w:t xml:space="preserve"> </w:t>
      </w:r>
      <w:r w:rsidR="007D0A51">
        <w:rPr>
          <w:rFonts w:ascii="Verdana" w:hAnsi="Verdana"/>
        </w:rPr>
        <w:t xml:space="preserve">gennemsnitlige skattesats for lønmodtagere på grundniveau giver et retvisende billede af skattebetalingen. Skatteministeriet opgjorde i 2016 skattesatsen for lønmodtagere på grundniveau til at være 33,2 pct. </w:t>
      </w:r>
      <w:sdt>
        <w:sdtPr>
          <w:rPr>
            <w:rFonts w:ascii="Verdana" w:hAnsi="Verdana"/>
          </w:rPr>
          <w:id w:val="-1552844185"/>
          <w:citation/>
        </w:sdtPr>
        <w:sdtEndPr/>
        <w:sdtContent>
          <w:r w:rsidR="007D0A51">
            <w:rPr>
              <w:rFonts w:ascii="Verdana" w:hAnsi="Verdana"/>
            </w:rPr>
            <w:fldChar w:fldCharType="begin"/>
          </w:r>
          <w:r w:rsidR="007D0A51">
            <w:rPr>
              <w:rFonts w:ascii="Verdana" w:hAnsi="Verdana"/>
            </w:rPr>
            <w:instrText xml:space="preserve"> CITATION Ska16 \l 1030 </w:instrText>
          </w:r>
          <w:r w:rsidR="007D0A51">
            <w:rPr>
              <w:rFonts w:ascii="Verdana" w:hAnsi="Verdana"/>
            </w:rPr>
            <w:fldChar w:fldCharType="separate"/>
          </w:r>
          <w:r w:rsidR="007D0A51" w:rsidRPr="007D0A51">
            <w:rPr>
              <w:rFonts w:ascii="Verdana" w:hAnsi="Verdana"/>
              <w:noProof/>
            </w:rPr>
            <w:t>(Skatteministeriet, 2016)</w:t>
          </w:r>
          <w:r w:rsidR="007D0A51">
            <w:rPr>
              <w:rFonts w:ascii="Verdana" w:hAnsi="Verdana"/>
            </w:rPr>
            <w:fldChar w:fldCharType="end"/>
          </w:r>
        </w:sdtContent>
      </w:sdt>
      <w:r w:rsidR="007D0A51">
        <w:rPr>
          <w:rFonts w:ascii="Verdana" w:hAnsi="Verdana"/>
        </w:rPr>
        <w:t xml:space="preserve">. Det giver en skattebetaling på i alt </w:t>
      </w:r>
      <w:r w:rsidR="00536B57">
        <w:rPr>
          <w:rFonts w:ascii="Verdana" w:hAnsi="Verdana"/>
        </w:rPr>
        <w:t>ca. 76.000 kr.</w:t>
      </w:r>
    </w:p>
    <w:p w14:paraId="3E26C030" w14:textId="3689EC27" w:rsidR="00293886" w:rsidRDefault="003A68DF" w:rsidP="003A68DF">
      <w:pPr>
        <w:pStyle w:val="NoSpacing"/>
        <w:numPr>
          <w:ilvl w:val="0"/>
          <w:numId w:val="13"/>
        </w:numPr>
        <w:rPr>
          <w:rFonts w:ascii="Verdana" w:hAnsi="Verdana"/>
        </w:rPr>
      </w:pPr>
      <w:r>
        <w:rPr>
          <w:rFonts w:ascii="Verdana" w:hAnsi="Verdana"/>
        </w:rPr>
        <w:t>Vi antager</w:t>
      </w:r>
      <w:r w:rsidR="00973B28">
        <w:rPr>
          <w:rFonts w:ascii="Verdana" w:hAnsi="Verdana"/>
        </w:rPr>
        <w:t>,</w:t>
      </w:r>
      <w:r>
        <w:rPr>
          <w:rFonts w:ascii="Verdana" w:hAnsi="Verdana"/>
        </w:rPr>
        <w:t xml:space="preserve"> at forbrugskvoten for denne aldersgruppe er stort set lig 1, og anvende</w:t>
      </w:r>
      <w:r w:rsidR="00A43D40">
        <w:rPr>
          <w:rFonts w:ascii="Verdana" w:hAnsi="Verdana"/>
        </w:rPr>
        <w:t>r</w:t>
      </w:r>
      <w:r>
        <w:rPr>
          <w:rFonts w:ascii="Verdana" w:hAnsi="Verdana"/>
        </w:rPr>
        <w:t xml:space="preserve"> Skatteministeriets forudsætning om, </w:t>
      </w:r>
      <w:r w:rsidRPr="003A68DF">
        <w:rPr>
          <w:rFonts w:ascii="Verdana" w:hAnsi="Verdana"/>
        </w:rPr>
        <w:t>at dansk afgiftsindhold af danskeres marginale private forbrug udgør 24,5 pct</w:t>
      </w:r>
      <w:r w:rsidR="00A43D40">
        <w:rPr>
          <w:rFonts w:ascii="Verdana" w:hAnsi="Verdana"/>
        </w:rPr>
        <w:t>. Dette giver et</w:t>
      </w:r>
      <w:r>
        <w:rPr>
          <w:rFonts w:ascii="Verdana" w:hAnsi="Verdana"/>
        </w:rPr>
        <w:t xml:space="preserve"> tilbageløb </w:t>
      </w:r>
      <w:r w:rsidR="00536B57">
        <w:rPr>
          <w:rFonts w:ascii="Verdana" w:hAnsi="Verdana"/>
        </w:rPr>
        <w:t>fra moms og afgifter på i alt ca. 38</w:t>
      </w:r>
      <w:r>
        <w:rPr>
          <w:rFonts w:ascii="Verdana" w:hAnsi="Verdana"/>
        </w:rPr>
        <w:t xml:space="preserve">.000 kr. </w:t>
      </w:r>
      <w:sdt>
        <w:sdtPr>
          <w:rPr>
            <w:rFonts w:ascii="Verdana" w:hAnsi="Verdana"/>
          </w:rPr>
          <w:id w:val="1272516569"/>
          <w:citation/>
        </w:sdtPr>
        <w:sdtEndPr/>
        <w:sdtContent>
          <w:r>
            <w:rPr>
              <w:rFonts w:ascii="Verdana" w:hAnsi="Verdana"/>
            </w:rPr>
            <w:fldChar w:fldCharType="begin"/>
          </w:r>
          <w:r>
            <w:rPr>
              <w:rFonts w:ascii="Verdana" w:hAnsi="Verdana"/>
            </w:rPr>
            <w:instrText xml:space="preserve"> CITATION Ska13 \l 1030 </w:instrText>
          </w:r>
          <w:r>
            <w:rPr>
              <w:rFonts w:ascii="Verdana" w:hAnsi="Verdana"/>
            </w:rPr>
            <w:fldChar w:fldCharType="separate"/>
          </w:r>
          <w:r w:rsidR="006A0FEA" w:rsidRPr="006A0FEA">
            <w:rPr>
              <w:rFonts w:ascii="Verdana" w:hAnsi="Verdana"/>
              <w:noProof/>
            </w:rPr>
            <w:t>(Skatteministeriet, 2013)</w:t>
          </w:r>
          <w:r>
            <w:rPr>
              <w:rFonts w:ascii="Verdana" w:hAnsi="Verdana"/>
            </w:rPr>
            <w:fldChar w:fldCharType="end"/>
          </w:r>
        </w:sdtContent>
      </w:sdt>
      <w:r>
        <w:rPr>
          <w:rFonts w:ascii="Verdana" w:hAnsi="Verdana"/>
        </w:rPr>
        <w:t xml:space="preserve">. </w:t>
      </w:r>
    </w:p>
    <w:p w14:paraId="0EC7CDD8" w14:textId="0C9E0F8B" w:rsidR="003A68DF" w:rsidRDefault="003A68DF" w:rsidP="003A68DF">
      <w:pPr>
        <w:pStyle w:val="NoSpacing"/>
        <w:rPr>
          <w:rFonts w:ascii="Verdana" w:hAnsi="Verdana"/>
        </w:rPr>
      </w:pPr>
    </w:p>
    <w:p w14:paraId="26C6ED1D" w14:textId="188362F4" w:rsidR="003A68DF" w:rsidRDefault="003A68DF" w:rsidP="003A68DF">
      <w:pPr>
        <w:pStyle w:val="NoSpacing"/>
        <w:rPr>
          <w:rFonts w:ascii="Verdana" w:hAnsi="Verdana"/>
        </w:rPr>
      </w:pPr>
      <w:r>
        <w:rPr>
          <w:rFonts w:ascii="Verdana" w:hAnsi="Verdana"/>
        </w:rPr>
        <w:t>Dermed</w:t>
      </w:r>
      <w:r w:rsidR="002C03E5">
        <w:rPr>
          <w:rFonts w:ascii="Verdana" w:hAnsi="Verdana"/>
        </w:rPr>
        <w:t xml:space="preserve"> oplever</w:t>
      </w:r>
      <w:r w:rsidR="00536B57">
        <w:rPr>
          <w:rFonts w:ascii="Verdana" w:hAnsi="Verdana"/>
        </w:rPr>
        <w:t xml:space="preserve"> de offentlige kasser 114</w:t>
      </w:r>
      <w:r>
        <w:rPr>
          <w:rFonts w:ascii="Verdana" w:hAnsi="Verdana"/>
        </w:rPr>
        <w:t>.000 i tabte skatteindtægter pr. år pr. studerende, hvilket over den 6-år</w:t>
      </w:r>
      <w:r w:rsidR="0032448C">
        <w:rPr>
          <w:rFonts w:ascii="Verdana" w:hAnsi="Verdana"/>
        </w:rPr>
        <w:t>ige periode svarer til i a</w:t>
      </w:r>
      <w:r w:rsidR="004A09B9">
        <w:rPr>
          <w:rFonts w:ascii="Verdana" w:hAnsi="Verdana"/>
        </w:rPr>
        <w:t>lt 224</w:t>
      </w:r>
      <w:r>
        <w:rPr>
          <w:rFonts w:ascii="Verdana" w:hAnsi="Verdana"/>
        </w:rPr>
        <w:t xml:space="preserve"> mio. kr. </w:t>
      </w:r>
    </w:p>
    <w:p w14:paraId="2CCC3BC7" w14:textId="77777777" w:rsidR="002C03E5" w:rsidRDefault="002C03E5" w:rsidP="003A68DF">
      <w:pPr>
        <w:pStyle w:val="NoSpacing"/>
        <w:rPr>
          <w:rFonts w:ascii="Verdana" w:hAnsi="Verdana"/>
        </w:rPr>
      </w:pPr>
    </w:p>
    <w:p w14:paraId="3CB4E2D1" w14:textId="6205CC3A" w:rsidR="003A68DF" w:rsidRDefault="002C03E5" w:rsidP="003A68DF">
      <w:pPr>
        <w:pStyle w:val="NoSpacing"/>
        <w:rPr>
          <w:rFonts w:ascii="Verdana" w:hAnsi="Verdana"/>
        </w:rPr>
      </w:pPr>
      <w:r>
        <w:rPr>
          <w:rFonts w:ascii="Verdana" w:hAnsi="Verdana"/>
        </w:rPr>
        <w:t xml:space="preserve">De tre </w:t>
      </w:r>
      <w:r w:rsidR="00A43D40">
        <w:rPr>
          <w:rFonts w:ascii="Verdana" w:hAnsi="Verdana"/>
        </w:rPr>
        <w:t>umiddelbare</w:t>
      </w:r>
      <w:r>
        <w:rPr>
          <w:rFonts w:ascii="Verdana" w:hAnsi="Verdana"/>
        </w:rPr>
        <w:t xml:space="preserve"> omkostninger – forøgede driftsomkostninger, udgifter til SU samt tabte skatteindtægter – kan nu summeres til en samlet</w:t>
      </w:r>
      <w:r w:rsidR="00A43D40">
        <w:rPr>
          <w:rFonts w:ascii="Verdana" w:hAnsi="Verdana"/>
        </w:rPr>
        <w:t>, umiddelbar</w:t>
      </w:r>
      <w:r>
        <w:rPr>
          <w:rFonts w:ascii="Verdana" w:hAnsi="Verdana"/>
        </w:rPr>
        <w:t xml:space="preserve"> omkostning</w:t>
      </w:r>
      <w:r w:rsidR="00455880">
        <w:rPr>
          <w:rFonts w:ascii="Verdana" w:hAnsi="Verdana"/>
        </w:rPr>
        <w:t xml:space="preserve">. </w:t>
      </w:r>
      <w:r w:rsidR="003A68DF">
        <w:rPr>
          <w:rFonts w:ascii="Verdana" w:hAnsi="Verdana"/>
        </w:rPr>
        <w:t>I alt udgør de samlede merudgifte</w:t>
      </w:r>
      <w:r w:rsidR="00395AB1">
        <w:rPr>
          <w:rFonts w:ascii="Verdana" w:hAnsi="Verdana"/>
        </w:rPr>
        <w:t>r pr. år ved varigt at uddanne 1</w:t>
      </w:r>
      <w:r w:rsidR="003A68DF">
        <w:rPr>
          <w:rFonts w:ascii="Verdana" w:hAnsi="Verdana"/>
        </w:rPr>
        <w:t xml:space="preserve">00 flere </w:t>
      </w:r>
      <w:r w:rsidR="00CC3427">
        <w:rPr>
          <w:rFonts w:ascii="Verdana" w:hAnsi="Verdana"/>
        </w:rPr>
        <w:t xml:space="preserve">med en lang videregående uddannelse fra hver ungdomsårgang: </w:t>
      </w:r>
    </w:p>
    <w:p w14:paraId="0F6D92A8" w14:textId="43C3694B" w:rsidR="00CC3427" w:rsidRDefault="004D4C87" w:rsidP="00CC3427">
      <w:pPr>
        <w:pStyle w:val="NoSpacing"/>
        <w:numPr>
          <w:ilvl w:val="0"/>
          <w:numId w:val="13"/>
        </w:numPr>
        <w:rPr>
          <w:rFonts w:ascii="Verdana" w:hAnsi="Verdana"/>
        </w:rPr>
      </w:pPr>
      <w:r>
        <w:rPr>
          <w:rFonts w:ascii="Verdana" w:hAnsi="Verdana"/>
        </w:rPr>
        <w:t xml:space="preserve">41 </w:t>
      </w:r>
      <w:r w:rsidR="00CC3427">
        <w:rPr>
          <w:rFonts w:ascii="Verdana" w:hAnsi="Verdana"/>
        </w:rPr>
        <w:t>mio. i ekstra driftsomkostninger</w:t>
      </w:r>
    </w:p>
    <w:p w14:paraId="7789823D" w14:textId="68FA612E" w:rsidR="00CC3427" w:rsidRDefault="004D4C87" w:rsidP="00CC3427">
      <w:pPr>
        <w:pStyle w:val="NoSpacing"/>
        <w:numPr>
          <w:ilvl w:val="0"/>
          <w:numId w:val="13"/>
        </w:numPr>
        <w:rPr>
          <w:rFonts w:ascii="Verdana" w:hAnsi="Verdana"/>
        </w:rPr>
      </w:pPr>
      <w:r>
        <w:rPr>
          <w:rFonts w:ascii="Verdana" w:hAnsi="Verdana"/>
        </w:rPr>
        <w:t xml:space="preserve">20 </w:t>
      </w:r>
      <w:r w:rsidR="00CC3427">
        <w:rPr>
          <w:rFonts w:ascii="Verdana" w:hAnsi="Verdana"/>
        </w:rPr>
        <w:t>mio. i udgifter til øget SU</w:t>
      </w:r>
    </w:p>
    <w:p w14:paraId="56F8B410" w14:textId="7FC93A34" w:rsidR="00CC3427" w:rsidRDefault="00395AB1" w:rsidP="00CC3427">
      <w:pPr>
        <w:pStyle w:val="NoSpacing"/>
        <w:numPr>
          <w:ilvl w:val="0"/>
          <w:numId w:val="13"/>
        </w:numPr>
        <w:rPr>
          <w:rFonts w:ascii="Verdana" w:hAnsi="Verdana"/>
        </w:rPr>
      </w:pPr>
      <w:r>
        <w:rPr>
          <w:rFonts w:ascii="Verdana" w:hAnsi="Verdana"/>
        </w:rPr>
        <w:t>37</w:t>
      </w:r>
      <w:r w:rsidR="00CC3427">
        <w:rPr>
          <w:rFonts w:ascii="Verdana" w:hAnsi="Verdana"/>
        </w:rPr>
        <w:t xml:space="preserve"> mio. i tabte skatteindtægter mens uddannelsen står på.</w:t>
      </w:r>
    </w:p>
    <w:p w14:paraId="52C782F6" w14:textId="5B4CA916" w:rsidR="00CC3427" w:rsidRDefault="00BD365C" w:rsidP="00CC3427">
      <w:pPr>
        <w:pStyle w:val="NoSpacing"/>
        <w:numPr>
          <w:ilvl w:val="0"/>
          <w:numId w:val="13"/>
        </w:numPr>
        <w:rPr>
          <w:rFonts w:ascii="Verdana" w:hAnsi="Verdana"/>
        </w:rPr>
      </w:pPr>
      <w:r>
        <w:rPr>
          <w:rFonts w:ascii="Verdana" w:hAnsi="Verdana"/>
        </w:rPr>
        <w:t>98</w:t>
      </w:r>
      <w:r w:rsidR="00CC3427">
        <w:rPr>
          <w:rFonts w:ascii="Verdana" w:hAnsi="Verdana"/>
        </w:rPr>
        <w:t xml:space="preserve"> mio. kr. i alt. </w:t>
      </w:r>
    </w:p>
    <w:p w14:paraId="1A9AF765" w14:textId="17BF3779" w:rsidR="00CC3427" w:rsidRDefault="00CC3427" w:rsidP="00CC3427">
      <w:pPr>
        <w:pStyle w:val="NoSpacing"/>
        <w:rPr>
          <w:rFonts w:ascii="Verdana" w:hAnsi="Verdana"/>
        </w:rPr>
      </w:pPr>
    </w:p>
    <w:p w14:paraId="545D256C" w14:textId="59984B54" w:rsidR="003D34B2" w:rsidRDefault="003D34B2" w:rsidP="003B439E">
      <w:pPr>
        <w:pStyle w:val="NoSpacing"/>
        <w:rPr>
          <w:rFonts w:ascii="Verdana" w:hAnsi="Verdana"/>
        </w:rPr>
      </w:pPr>
      <w:r w:rsidRPr="00F30990">
        <w:rPr>
          <w:rFonts w:ascii="Verdana" w:hAnsi="Verdana"/>
        </w:rPr>
        <w:t>Foruden udgiftssiden skal der også foretages en opregning af de positive dynamiske effekter til produktiviteten</w:t>
      </w:r>
      <w:r>
        <w:rPr>
          <w:rFonts w:ascii="Verdana" w:hAnsi="Verdana"/>
        </w:rPr>
        <w:t xml:space="preserve"> af</w:t>
      </w:r>
      <w:r w:rsidR="00973B28">
        <w:rPr>
          <w:rFonts w:ascii="Verdana" w:hAnsi="Verdana"/>
        </w:rPr>
        <w:t xml:space="preserve"> uddannelsesløftet. Som det dog</w:t>
      </w:r>
      <w:r>
        <w:rPr>
          <w:rFonts w:ascii="Verdana" w:hAnsi="Verdana"/>
        </w:rPr>
        <w:t xml:space="preserve"> omtales i Finansredegørelsen fra 2014, kan produktivitetsstigninger også være forbundet med </w:t>
      </w:r>
      <w:r w:rsidR="00A43D40">
        <w:rPr>
          <w:rFonts w:ascii="Verdana" w:hAnsi="Verdana"/>
        </w:rPr>
        <w:t xml:space="preserve">indirekte </w:t>
      </w:r>
      <w:r>
        <w:rPr>
          <w:rFonts w:ascii="Verdana" w:hAnsi="Verdana"/>
        </w:rPr>
        <w:t>udgifter for det offentlige. Dette vender vi tilbage nedenfor, først afdækkes, hvordan uddannelsesløftet kan forventes at påvirke den offentlige saldo positivt.</w:t>
      </w:r>
    </w:p>
    <w:p w14:paraId="60A4E6DF" w14:textId="77777777" w:rsidR="003D34B2" w:rsidRDefault="003D34B2" w:rsidP="003B439E">
      <w:pPr>
        <w:pStyle w:val="NoSpacing"/>
        <w:rPr>
          <w:rFonts w:ascii="Verdana" w:hAnsi="Verdana"/>
        </w:rPr>
      </w:pPr>
    </w:p>
    <w:p w14:paraId="2CBB87FB" w14:textId="2DADE47E" w:rsidR="00F22EE8" w:rsidRDefault="000A64BE" w:rsidP="003B439E">
      <w:pPr>
        <w:pStyle w:val="NoSpacing"/>
        <w:rPr>
          <w:rFonts w:ascii="Verdana" w:hAnsi="Verdana"/>
        </w:rPr>
      </w:pPr>
      <w:r>
        <w:rPr>
          <w:rFonts w:ascii="Verdana" w:hAnsi="Verdana"/>
        </w:rPr>
        <w:t xml:space="preserve">Det besluttes at </w:t>
      </w:r>
      <w:r w:rsidR="00F22EE8">
        <w:rPr>
          <w:rFonts w:ascii="Verdana" w:hAnsi="Verdana"/>
        </w:rPr>
        <w:t xml:space="preserve">foretage en relativt overordnet approksimation af de skatteindtægter, som uddannelsesløftet giver anledningen til. Således summeres både </w:t>
      </w:r>
      <w:proofErr w:type="spellStart"/>
      <w:r w:rsidR="00F22EE8">
        <w:rPr>
          <w:rFonts w:ascii="Verdana" w:hAnsi="Verdana"/>
        </w:rPr>
        <w:t>egeneffekten</w:t>
      </w:r>
      <w:proofErr w:type="spellEnd"/>
      <w:r w:rsidR="00F22EE8">
        <w:rPr>
          <w:rFonts w:ascii="Verdana" w:hAnsi="Verdana"/>
        </w:rPr>
        <w:t xml:space="preserve"> og fælleseffekt</w:t>
      </w:r>
      <w:r w:rsidR="00395AB1">
        <w:rPr>
          <w:rFonts w:ascii="Verdana" w:hAnsi="Verdana"/>
        </w:rPr>
        <w:t>en af uddannelsesløftet for de 1</w:t>
      </w:r>
      <w:r w:rsidR="00F22EE8">
        <w:rPr>
          <w:rFonts w:ascii="Verdana" w:hAnsi="Verdana"/>
        </w:rPr>
        <w:t>00</w:t>
      </w:r>
      <w:r w:rsidR="00455880">
        <w:rPr>
          <w:rFonts w:ascii="Verdana" w:hAnsi="Verdana"/>
        </w:rPr>
        <w:t xml:space="preserve"> personer pr. ungdomsårgang</w:t>
      </w:r>
      <w:r w:rsidR="00F22EE8">
        <w:rPr>
          <w:rFonts w:ascii="Verdana" w:hAnsi="Verdana"/>
        </w:rPr>
        <w:t>. Herefter anvendes det gennemsnitlige skattetryk (opgjort med BVT i nævneren) til at skønne over de omtrentlige skatteindtægter af løftet. Et centralt valg er, hvad effekten udregnes på baggrund af. Således viser udregningerne i Finansredegørelsen fra 2014 at personer, der højest har opnået en gymnasial uddannelse</w:t>
      </w:r>
      <w:r w:rsidR="00A43D40">
        <w:rPr>
          <w:rFonts w:ascii="Verdana" w:hAnsi="Verdana"/>
        </w:rPr>
        <w:t>,</w:t>
      </w:r>
      <w:r w:rsidR="00F22EE8">
        <w:rPr>
          <w:rFonts w:ascii="Verdana" w:hAnsi="Verdana"/>
        </w:rPr>
        <w:t xml:space="preserve"> er langt mindre produktive end personer med en erhvervsfaglig uddannelse. Alligevel baserer nedenstående beregning sig på </w:t>
      </w:r>
      <w:r w:rsidR="00F22EE8">
        <w:rPr>
          <w:rFonts w:ascii="Verdana" w:hAnsi="Verdana"/>
        </w:rPr>
        <w:lastRenderedPageBreak/>
        <w:t>den konservative antagelse, at effekten i stedet sammenlignes med produktivitetsniveauet for en faglært.</w:t>
      </w:r>
      <w:r w:rsidR="008B1993">
        <w:rPr>
          <w:rFonts w:ascii="Verdana" w:hAnsi="Verdana"/>
        </w:rPr>
        <w:t xml:space="preserve"> </w:t>
      </w:r>
    </w:p>
    <w:p w14:paraId="566202CC" w14:textId="77777777" w:rsidR="00F22EE8" w:rsidRDefault="00F22EE8" w:rsidP="003B439E">
      <w:pPr>
        <w:pStyle w:val="NoSpacing"/>
        <w:rPr>
          <w:rFonts w:ascii="Verdana" w:hAnsi="Verdana"/>
        </w:rPr>
      </w:pPr>
    </w:p>
    <w:p w14:paraId="6F440FC2" w14:textId="43FABF83" w:rsidR="003D34B2" w:rsidRDefault="00F22EE8" w:rsidP="003B439E">
      <w:pPr>
        <w:pStyle w:val="NoSpacing"/>
        <w:rPr>
          <w:rFonts w:ascii="Verdana" w:hAnsi="Verdana"/>
        </w:rPr>
      </w:pPr>
      <w:r>
        <w:rPr>
          <w:rFonts w:ascii="Verdana" w:hAnsi="Verdana"/>
        </w:rPr>
        <w:t xml:space="preserve">Fra </w:t>
      </w:r>
      <w:sdt>
        <w:sdtPr>
          <w:rPr>
            <w:rFonts w:ascii="Verdana" w:hAnsi="Verdana"/>
          </w:rPr>
          <w:id w:val="1607159991"/>
          <w:citation/>
        </w:sdtPr>
        <w:sdtEndPr/>
        <w:sdtContent>
          <w:r w:rsidR="00A43D40">
            <w:rPr>
              <w:rFonts w:ascii="Verdana" w:hAnsi="Verdana"/>
            </w:rPr>
            <w:fldChar w:fldCharType="begin"/>
          </w:r>
          <w:r w:rsidR="00A43D40">
            <w:rPr>
              <w:rFonts w:ascii="Verdana" w:hAnsi="Verdana"/>
            </w:rPr>
            <w:instrText xml:space="preserve"> CITATION Fos13 \l 1030 </w:instrText>
          </w:r>
          <w:r w:rsidR="00A43D40">
            <w:rPr>
              <w:rFonts w:ascii="Verdana" w:hAnsi="Verdana"/>
            </w:rPr>
            <w:fldChar w:fldCharType="separate"/>
          </w:r>
          <w:r w:rsidR="006A0FEA" w:rsidRPr="006A0FEA">
            <w:rPr>
              <w:rFonts w:ascii="Verdana" w:hAnsi="Verdana"/>
              <w:noProof/>
            </w:rPr>
            <w:t>(Fosse, et al., 2013)</w:t>
          </w:r>
          <w:r w:rsidR="00A43D40">
            <w:rPr>
              <w:rFonts w:ascii="Verdana" w:hAnsi="Verdana"/>
            </w:rPr>
            <w:fldChar w:fldCharType="end"/>
          </w:r>
        </w:sdtContent>
      </w:sdt>
      <w:r w:rsidR="00A43D40">
        <w:rPr>
          <w:rFonts w:ascii="Verdana" w:hAnsi="Verdana"/>
        </w:rPr>
        <w:t xml:space="preserve"> </w:t>
      </w:r>
      <w:r>
        <w:rPr>
          <w:rFonts w:ascii="Verdana" w:hAnsi="Verdana"/>
        </w:rPr>
        <w:t xml:space="preserve">har vi, at </w:t>
      </w:r>
      <w:r w:rsidR="00455880">
        <w:rPr>
          <w:rFonts w:ascii="Verdana" w:hAnsi="Verdana"/>
        </w:rPr>
        <w:t xml:space="preserve">et uddannelsesløft af én person, som øger vedkommendes produktivitet, </w:t>
      </w:r>
      <w:r w:rsidR="008B1993">
        <w:rPr>
          <w:rFonts w:ascii="Verdana" w:hAnsi="Verdana"/>
        </w:rPr>
        <w:t xml:space="preserve">giver anledning til en samlet gevinst på 670.000 kr. i kombinerede egen- og fælleseffekter. </w:t>
      </w:r>
      <w:r w:rsidR="00455880">
        <w:rPr>
          <w:rFonts w:ascii="Verdana" w:hAnsi="Verdana"/>
        </w:rPr>
        <w:t>Traditionelt forventer økonomer, at alle forbedringer af arbejdskraftsproduktiviteten p</w:t>
      </w:r>
      <w:r w:rsidR="00396535">
        <w:rPr>
          <w:rFonts w:ascii="Verdana" w:hAnsi="Verdana"/>
        </w:rPr>
        <w:t>å sigt</w:t>
      </w:r>
      <w:r w:rsidR="00455880">
        <w:rPr>
          <w:rFonts w:ascii="Verdana" w:hAnsi="Verdana"/>
        </w:rPr>
        <w:t xml:space="preserve"> vil blive overført til højere lønninger. Da vi her anvender en mere overordnet approksimation – skattetrykket som andel af BVT</w:t>
      </w:r>
      <w:r w:rsidR="007D41B9">
        <w:rPr>
          <w:rFonts w:ascii="Verdana" w:hAnsi="Verdana"/>
        </w:rPr>
        <w:t xml:space="preserve"> – er dette dog ikke en nødvendig antagelse.</w:t>
      </w:r>
      <w:r w:rsidR="00D559F9">
        <w:rPr>
          <w:rFonts w:ascii="Verdana" w:hAnsi="Verdana"/>
        </w:rPr>
        <w:t xml:space="preserve"> Skal dette skattetryksmål kunne anvendes meningsfuldt skal </w:t>
      </w:r>
      <w:proofErr w:type="spellStart"/>
      <w:r w:rsidR="00D559F9">
        <w:rPr>
          <w:rFonts w:ascii="Verdana" w:hAnsi="Verdana"/>
        </w:rPr>
        <w:t>egeneffekten</w:t>
      </w:r>
      <w:proofErr w:type="spellEnd"/>
      <w:r w:rsidR="00D559F9">
        <w:rPr>
          <w:rFonts w:ascii="Verdana" w:hAnsi="Verdana"/>
        </w:rPr>
        <w:t xml:space="preserve"> dog justeres med lønnens andel af BVT, fordi </w:t>
      </w:r>
      <w:proofErr w:type="spellStart"/>
      <w:r w:rsidR="00D559F9">
        <w:rPr>
          <w:rFonts w:ascii="Verdana" w:hAnsi="Verdana"/>
        </w:rPr>
        <w:t>egeneffekten</w:t>
      </w:r>
      <w:proofErr w:type="spellEnd"/>
      <w:r w:rsidR="00D559F9">
        <w:rPr>
          <w:rFonts w:ascii="Verdana" w:hAnsi="Verdana"/>
        </w:rPr>
        <w:t xml:space="preserve"> er målt i forhold til lønnen og ikke værditilvæksten (</w:t>
      </w:r>
      <w:proofErr w:type="spellStart"/>
      <w:r w:rsidR="00D559F9">
        <w:rPr>
          <w:rFonts w:ascii="Verdana" w:hAnsi="Verdana"/>
        </w:rPr>
        <w:t>ibid</w:t>
      </w:r>
      <w:proofErr w:type="spellEnd"/>
      <w:r w:rsidR="00D559F9">
        <w:rPr>
          <w:rFonts w:ascii="Verdana" w:hAnsi="Verdana"/>
        </w:rPr>
        <w:t>). Dermed opgøres totaleffekten således:</w:t>
      </w:r>
    </w:p>
    <w:p w14:paraId="2DE7F0DB" w14:textId="77777777" w:rsidR="00A43D40" w:rsidRDefault="00A43D40" w:rsidP="003B439E">
      <w:pPr>
        <w:pStyle w:val="NoSpacing"/>
        <w:rPr>
          <w:rFonts w:ascii="Verdana" w:hAnsi="Verdana"/>
        </w:rPr>
      </w:pPr>
    </w:p>
    <w:p w14:paraId="1A4CF8BC" w14:textId="369DB7A6" w:rsidR="00D559F9" w:rsidRPr="00D559F9" w:rsidRDefault="00D559F9" w:rsidP="003B439E">
      <w:pPr>
        <w:pStyle w:val="NoSpacing"/>
        <w:rPr>
          <w:rFonts w:ascii="Verdana" w:eastAsiaTheme="minorEastAsia" w:hAnsi="Verdana"/>
        </w:rPr>
      </w:pPr>
      <m:oMathPara>
        <m:oMath>
          <m:r>
            <w:rPr>
              <w:rFonts w:ascii="Cambria Math" w:hAnsi="Cambria Math"/>
            </w:rPr>
            <m:t>Totaleffekten=(</m:t>
          </m:r>
          <m:f>
            <m:fPr>
              <m:ctrlPr>
                <w:rPr>
                  <w:rFonts w:ascii="Cambria Math" w:hAnsi="Cambria Math"/>
                  <w:i/>
                </w:rPr>
              </m:ctrlPr>
            </m:fPr>
            <m:num>
              <m:r>
                <w:rPr>
                  <w:rFonts w:ascii="Cambria Math" w:hAnsi="Cambria Math"/>
                </w:rPr>
                <m:t>Løn</m:t>
              </m:r>
            </m:num>
            <m:den>
              <m:r>
                <w:rPr>
                  <w:rFonts w:ascii="Cambria Math" w:hAnsi="Cambria Math"/>
                </w:rPr>
                <m:t>Værditilvækst</m:t>
              </m:r>
            </m:den>
          </m:f>
          <m:r>
            <w:rPr>
              <w:rFonts w:ascii="Cambria Math" w:hAnsi="Cambria Math"/>
            </w:rPr>
            <m:t>*Egeneffekt+fælleseffekt)</m:t>
          </m:r>
        </m:oMath>
      </m:oMathPara>
    </w:p>
    <w:p w14:paraId="5B9B1DFD" w14:textId="77777777" w:rsidR="00D559F9" w:rsidRDefault="00D559F9" w:rsidP="003B439E">
      <w:pPr>
        <w:pStyle w:val="NoSpacing"/>
        <w:rPr>
          <w:rFonts w:ascii="Verdana" w:hAnsi="Verdana"/>
        </w:rPr>
      </w:pPr>
    </w:p>
    <w:p w14:paraId="1C34E800" w14:textId="4FC35F31" w:rsidR="00D559F9" w:rsidRDefault="00EE375D" w:rsidP="003B439E">
      <w:pPr>
        <w:pStyle w:val="NoSpacing"/>
        <w:rPr>
          <w:rFonts w:ascii="Verdana" w:hAnsi="Verdana"/>
        </w:rPr>
      </w:pPr>
      <w:r>
        <w:rPr>
          <w:rFonts w:ascii="Verdana" w:hAnsi="Verdana"/>
        </w:rPr>
        <w:t xml:space="preserve">Lønnens andel af værditilvæksten varierer markant på tværs af brancher. Her anvender vi dog et gennemsnit baseret på nationalregnskabstal for hele økonomien. </w:t>
      </w:r>
    </w:p>
    <w:p w14:paraId="2671ED83" w14:textId="77777777" w:rsidR="00EE375D" w:rsidRDefault="00EE375D" w:rsidP="003B439E">
      <w:pPr>
        <w:pStyle w:val="NoSpacing"/>
        <w:rPr>
          <w:rFonts w:ascii="Verdana" w:hAnsi="Verdana"/>
        </w:rPr>
      </w:pPr>
    </w:p>
    <w:p w14:paraId="1BF73995" w14:textId="649243C9" w:rsidR="00EE375D" w:rsidRPr="00EE375D" w:rsidRDefault="00EE375D" w:rsidP="003B439E">
      <w:pPr>
        <w:pStyle w:val="NoSpacing"/>
        <w:rPr>
          <w:rFonts w:ascii="Verdana" w:hAnsi="Verdana"/>
          <w:i/>
        </w:rPr>
      </w:pPr>
      <w:r>
        <w:rPr>
          <w:rFonts w:ascii="Verdana" w:hAnsi="Verdana"/>
          <w:i/>
        </w:rPr>
        <w:t>Tabel 8: Omregning af produktivitetsgevinst</w:t>
      </w:r>
    </w:p>
    <w:tbl>
      <w:tblPr>
        <w:tblStyle w:val="LightShading"/>
        <w:tblW w:w="8964" w:type="dxa"/>
        <w:tblLook w:val="04A0" w:firstRow="1" w:lastRow="0" w:firstColumn="1" w:lastColumn="0" w:noHBand="0" w:noVBand="1"/>
      </w:tblPr>
      <w:tblGrid>
        <w:gridCol w:w="2038"/>
        <w:gridCol w:w="1728"/>
        <w:gridCol w:w="1919"/>
        <w:gridCol w:w="1551"/>
        <w:gridCol w:w="1728"/>
      </w:tblGrid>
      <w:tr w:rsidR="00EE375D" w:rsidRPr="00EE375D" w14:paraId="1CD6478E" w14:textId="77777777" w:rsidTr="00EE375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038" w:type="dxa"/>
            <w:noWrap/>
            <w:hideMark/>
          </w:tcPr>
          <w:p w14:paraId="17116C77" w14:textId="77777777" w:rsidR="00EE375D" w:rsidRPr="00EE375D" w:rsidRDefault="00EE375D" w:rsidP="00EE375D">
            <w:pPr>
              <w:spacing w:after="0" w:line="240" w:lineRule="auto"/>
              <w:rPr>
                <w:rFonts w:ascii="Times New Roman" w:eastAsia="Times New Roman" w:hAnsi="Times New Roman" w:cs="Times New Roman"/>
                <w:sz w:val="20"/>
                <w:szCs w:val="20"/>
                <w:lang w:eastAsia="da-DK"/>
              </w:rPr>
            </w:pPr>
          </w:p>
        </w:tc>
        <w:tc>
          <w:tcPr>
            <w:tcW w:w="1728" w:type="dxa"/>
            <w:noWrap/>
            <w:hideMark/>
          </w:tcPr>
          <w:p w14:paraId="127AC216" w14:textId="77777777" w:rsidR="00EE375D" w:rsidRPr="00EE375D" w:rsidRDefault="00EE375D" w:rsidP="00EE375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Faglært</w:t>
            </w:r>
          </w:p>
        </w:tc>
        <w:tc>
          <w:tcPr>
            <w:tcW w:w="1919" w:type="dxa"/>
            <w:noWrap/>
            <w:hideMark/>
          </w:tcPr>
          <w:p w14:paraId="0A7489F5" w14:textId="77777777" w:rsidR="00EE375D" w:rsidRPr="00EE375D" w:rsidRDefault="00EE375D" w:rsidP="00EE375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LVU</w:t>
            </w:r>
          </w:p>
        </w:tc>
        <w:tc>
          <w:tcPr>
            <w:tcW w:w="1551" w:type="dxa"/>
            <w:noWrap/>
            <w:hideMark/>
          </w:tcPr>
          <w:p w14:paraId="33DD25D1" w14:textId="77777777" w:rsidR="00EE375D" w:rsidRPr="00EE375D" w:rsidRDefault="00EE375D" w:rsidP="00EE375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Difference</w:t>
            </w:r>
          </w:p>
        </w:tc>
        <w:tc>
          <w:tcPr>
            <w:tcW w:w="1728" w:type="dxa"/>
            <w:noWrap/>
            <w:hideMark/>
          </w:tcPr>
          <w:p w14:paraId="4600840A" w14:textId="77777777" w:rsidR="00EE375D" w:rsidRPr="00EE375D" w:rsidRDefault="00EE375D" w:rsidP="00EE375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Efter justering</w:t>
            </w:r>
          </w:p>
        </w:tc>
      </w:tr>
      <w:tr w:rsidR="00EE375D" w:rsidRPr="00EE375D" w14:paraId="4C289CDC" w14:textId="77777777" w:rsidTr="00EE37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038" w:type="dxa"/>
            <w:noWrap/>
            <w:hideMark/>
          </w:tcPr>
          <w:p w14:paraId="6383D6D8" w14:textId="77777777" w:rsidR="00EE375D" w:rsidRPr="00EE375D" w:rsidRDefault="00EE375D" w:rsidP="00EE375D">
            <w:pPr>
              <w:spacing w:after="0" w:line="240" w:lineRule="auto"/>
              <w:rPr>
                <w:rFonts w:ascii="Calibri" w:eastAsia="Times New Roman" w:hAnsi="Calibri" w:cs="Calibri"/>
                <w:color w:val="000000"/>
                <w:lang w:eastAsia="da-DK"/>
              </w:rPr>
            </w:pPr>
            <w:r w:rsidRPr="00EE375D">
              <w:rPr>
                <w:rFonts w:ascii="Calibri" w:eastAsia="Times New Roman" w:hAnsi="Calibri" w:cs="Calibri"/>
                <w:color w:val="000000"/>
                <w:lang w:eastAsia="da-DK"/>
              </w:rPr>
              <w:t>Fælleseffekt</w:t>
            </w:r>
          </w:p>
        </w:tc>
        <w:tc>
          <w:tcPr>
            <w:tcW w:w="1728" w:type="dxa"/>
            <w:noWrap/>
            <w:hideMark/>
          </w:tcPr>
          <w:p w14:paraId="53D60884"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p>
        </w:tc>
        <w:tc>
          <w:tcPr>
            <w:tcW w:w="1919" w:type="dxa"/>
            <w:noWrap/>
            <w:hideMark/>
          </w:tcPr>
          <w:p w14:paraId="551186F2"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500</w:t>
            </w:r>
            <w:proofErr w:type="gramEnd"/>
            <w:r w:rsidRPr="00EE375D">
              <w:rPr>
                <w:rFonts w:ascii="Calibri" w:eastAsia="Times New Roman" w:hAnsi="Calibri" w:cs="Calibri"/>
                <w:color w:val="000000"/>
                <w:lang w:eastAsia="da-DK"/>
              </w:rPr>
              <w:t xml:space="preserve">.000 </w:t>
            </w:r>
          </w:p>
        </w:tc>
        <w:tc>
          <w:tcPr>
            <w:tcW w:w="1551" w:type="dxa"/>
            <w:noWrap/>
            <w:hideMark/>
          </w:tcPr>
          <w:p w14:paraId="1C72C756"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500</w:t>
            </w:r>
            <w:proofErr w:type="gramEnd"/>
            <w:r w:rsidRPr="00EE375D">
              <w:rPr>
                <w:rFonts w:ascii="Calibri" w:eastAsia="Times New Roman" w:hAnsi="Calibri" w:cs="Calibri"/>
                <w:color w:val="000000"/>
                <w:lang w:eastAsia="da-DK"/>
              </w:rPr>
              <w:t xml:space="preserve">.000 </w:t>
            </w:r>
          </w:p>
        </w:tc>
        <w:tc>
          <w:tcPr>
            <w:tcW w:w="1728" w:type="dxa"/>
            <w:noWrap/>
            <w:hideMark/>
          </w:tcPr>
          <w:p w14:paraId="7A55E46A"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500</w:t>
            </w:r>
            <w:proofErr w:type="gramEnd"/>
            <w:r w:rsidRPr="00EE375D">
              <w:rPr>
                <w:rFonts w:ascii="Calibri" w:eastAsia="Times New Roman" w:hAnsi="Calibri" w:cs="Calibri"/>
                <w:color w:val="000000"/>
                <w:lang w:eastAsia="da-DK"/>
              </w:rPr>
              <w:t xml:space="preserve">.000 </w:t>
            </w:r>
          </w:p>
        </w:tc>
      </w:tr>
      <w:tr w:rsidR="00EE375D" w:rsidRPr="00EE375D" w14:paraId="44EABA6F" w14:textId="77777777" w:rsidTr="00EE375D">
        <w:trPr>
          <w:trHeight w:val="291"/>
        </w:trPr>
        <w:tc>
          <w:tcPr>
            <w:cnfStyle w:val="001000000000" w:firstRow="0" w:lastRow="0" w:firstColumn="1" w:lastColumn="0" w:oddVBand="0" w:evenVBand="0" w:oddHBand="0" w:evenHBand="0" w:firstRowFirstColumn="0" w:firstRowLastColumn="0" w:lastRowFirstColumn="0" w:lastRowLastColumn="0"/>
            <w:tcW w:w="2038" w:type="dxa"/>
            <w:noWrap/>
            <w:hideMark/>
          </w:tcPr>
          <w:p w14:paraId="4D16828E" w14:textId="77777777" w:rsidR="00EE375D" w:rsidRPr="00EE375D" w:rsidRDefault="00EE375D" w:rsidP="00EE375D">
            <w:pPr>
              <w:spacing w:after="0" w:line="240" w:lineRule="auto"/>
              <w:rPr>
                <w:rFonts w:ascii="Calibri" w:eastAsia="Times New Roman" w:hAnsi="Calibri" w:cs="Calibri"/>
                <w:color w:val="000000"/>
                <w:lang w:eastAsia="da-DK"/>
              </w:rPr>
            </w:pPr>
            <w:proofErr w:type="spellStart"/>
            <w:r w:rsidRPr="00EE375D">
              <w:rPr>
                <w:rFonts w:ascii="Calibri" w:eastAsia="Times New Roman" w:hAnsi="Calibri" w:cs="Calibri"/>
                <w:color w:val="000000"/>
                <w:lang w:eastAsia="da-DK"/>
              </w:rPr>
              <w:t>Egeneffekt</w:t>
            </w:r>
            <w:proofErr w:type="spellEnd"/>
          </w:p>
        </w:tc>
        <w:tc>
          <w:tcPr>
            <w:tcW w:w="1728" w:type="dxa"/>
            <w:noWrap/>
            <w:hideMark/>
          </w:tcPr>
          <w:p w14:paraId="739B6B3B"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480</w:t>
            </w:r>
            <w:proofErr w:type="gramEnd"/>
            <w:r w:rsidRPr="00EE375D">
              <w:rPr>
                <w:rFonts w:ascii="Calibri" w:eastAsia="Times New Roman" w:hAnsi="Calibri" w:cs="Calibri"/>
                <w:color w:val="000000"/>
                <w:lang w:eastAsia="da-DK"/>
              </w:rPr>
              <w:t xml:space="preserve">.000 </w:t>
            </w:r>
          </w:p>
        </w:tc>
        <w:tc>
          <w:tcPr>
            <w:tcW w:w="1919" w:type="dxa"/>
            <w:noWrap/>
            <w:hideMark/>
          </w:tcPr>
          <w:p w14:paraId="2C6DBAFC"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650</w:t>
            </w:r>
            <w:proofErr w:type="gramEnd"/>
            <w:r w:rsidRPr="00EE375D">
              <w:rPr>
                <w:rFonts w:ascii="Calibri" w:eastAsia="Times New Roman" w:hAnsi="Calibri" w:cs="Calibri"/>
                <w:color w:val="000000"/>
                <w:lang w:eastAsia="da-DK"/>
              </w:rPr>
              <w:t xml:space="preserve">.000 </w:t>
            </w:r>
          </w:p>
        </w:tc>
        <w:tc>
          <w:tcPr>
            <w:tcW w:w="1551" w:type="dxa"/>
            <w:noWrap/>
            <w:hideMark/>
          </w:tcPr>
          <w:p w14:paraId="08AB1577"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170</w:t>
            </w:r>
            <w:proofErr w:type="gramEnd"/>
            <w:r w:rsidRPr="00EE375D">
              <w:rPr>
                <w:rFonts w:ascii="Calibri" w:eastAsia="Times New Roman" w:hAnsi="Calibri" w:cs="Calibri"/>
                <w:color w:val="000000"/>
                <w:lang w:eastAsia="da-DK"/>
              </w:rPr>
              <w:t xml:space="preserve">.000 </w:t>
            </w:r>
          </w:p>
        </w:tc>
        <w:tc>
          <w:tcPr>
            <w:tcW w:w="1728" w:type="dxa"/>
            <w:noWrap/>
            <w:hideMark/>
          </w:tcPr>
          <w:p w14:paraId="26632763"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102</w:t>
            </w:r>
            <w:proofErr w:type="gramEnd"/>
            <w:r w:rsidRPr="00EE375D">
              <w:rPr>
                <w:rFonts w:ascii="Calibri" w:eastAsia="Times New Roman" w:hAnsi="Calibri" w:cs="Calibri"/>
                <w:color w:val="000000"/>
                <w:lang w:eastAsia="da-DK"/>
              </w:rPr>
              <w:t xml:space="preserve">.000 </w:t>
            </w:r>
          </w:p>
        </w:tc>
      </w:tr>
      <w:tr w:rsidR="00EE375D" w:rsidRPr="00EE375D" w14:paraId="5DD7D3D7" w14:textId="77777777" w:rsidTr="00EE37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038" w:type="dxa"/>
            <w:noWrap/>
            <w:hideMark/>
          </w:tcPr>
          <w:p w14:paraId="7BFF1A60" w14:textId="77777777" w:rsidR="00EE375D" w:rsidRPr="00EE375D" w:rsidRDefault="00EE375D" w:rsidP="00EE375D">
            <w:pPr>
              <w:spacing w:after="0" w:line="240" w:lineRule="auto"/>
              <w:rPr>
                <w:rFonts w:ascii="Calibri" w:eastAsia="Times New Roman" w:hAnsi="Calibri" w:cs="Calibri"/>
                <w:color w:val="000000"/>
                <w:lang w:eastAsia="da-DK"/>
              </w:rPr>
            </w:pPr>
          </w:p>
        </w:tc>
        <w:tc>
          <w:tcPr>
            <w:tcW w:w="1728" w:type="dxa"/>
            <w:noWrap/>
            <w:hideMark/>
          </w:tcPr>
          <w:p w14:paraId="04A3BDDA"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919" w:type="dxa"/>
            <w:noWrap/>
            <w:hideMark/>
          </w:tcPr>
          <w:p w14:paraId="18B71A1B"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551" w:type="dxa"/>
            <w:noWrap/>
            <w:hideMark/>
          </w:tcPr>
          <w:p w14:paraId="43714358"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c>
          <w:tcPr>
            <w:tcW w:w="1728" w:type="dxa"/>
            <w:noWrap/>
            <w:hideMark/>
          </w:tcPr>
          <w:p w14:paraId="6B315006" w14:textId="77777777" w:rsidR="00EE375D" w:rsidRPr="00EE375D" w:rsidRDefault="00EE375D" w:rsidP="00EE375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da-DK"/>
              </w:rPr>
            </w:pPr>
          </w:p>
        </w:tc>
      </w:tr>
      <w:tr w:rsidR="00EE375D" w:rsidRPr="00EE375D" w14:paraId="5372366C" w14:textId="77777777" w:rsidTr="00EE375D">
        <w:trPr>
          <w:trHeight w:val="291"/>
        </w:trPr>
        <w:tc>
          <w:tcPr>
            <w:cnfStyle w:val="001000000000" w:firstRow="0" w:lastRow="0" w:firstColumn="1" w:lastColumn="0" w:oddVBand="0" w:evenVBand="0" w:oddHBand="0" w:evenHBand="0" w:firstRowFirstColumn="0" w:firstRowLastColumn="0" w:lastRowFirstColumn="0" w:lastRowLastColumn="0"/>
            <w:tcW w:w="2038" w:type="dxa"/>
            <w:noWrap/>
            <w:hideMark/>
          </w:tcPr>
          <w:p w14:paraId="3BE6BB0B" w14:textId="77777777" w:rsidR="00EE375D" w:rsidRPr="00EE375D" w:rsidRDefault="00EE375D" w:rsidP="00EE375D">
            <w:pPr>
              <w:spacing w:after="0" w:line="240" w:lineRule="auto"/>
              <w:rPr>
                <w:rFonts w:ascii="Calibri" w:eastAsia="Times New Roman" w:hAnsi="Calibri" w:cs="Calibri"/>
                <w:color w:val="000000"/>
                <w:lang w:eastAsia="da-DK"/>
              </w:rPr>
            </w:pPr>
            <w:r w:rsidRPr="00EE375D">
              <w:rPr>
                <w:rFonts w:ascii="Calibri" w:eastAsia="Times New Roman" w:hAnsi="Calibri" w:cs="Calibri"/>
                <w:color w:val="000000"/>
                <w:lang w:eastAsia="da-DK"/>
              </w:rPr>
              <w:t>I alt</w:t>
            </w:r>
          </w:p>
        </w:tc>
        <w:tc>
          <w:tcPr>
            <w:tcW w:w="1728" w:type="dxa"/>
            <w:noWrap/>
            <w:hideMark/>
          </w:tcPr>
          <w:p w14:paraId="1DA269F8"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480</w:t>
            </w:r>
            <w:proofErr w:type="gramEnd"/>
            <w:r w:rsidRPr="00EE375D">
              <w:rPr>
                <w:rFonts w:ascii="Calibri" w:eastAsia="Times New Roman" w:hAnsi="Calibri" w:cs="Calibri"/>
                <w:color w:val="000000"/>
                <w:lang w:eastAsia="da-DK"/>
              </w:rPr>
              <w:t xml:space="preserve">.000 </w:t>
            </w:r>
          </w:p>
        </w:tc>
        <w:tc>
          <w:tcPr>
            <w:tcW w:w="1919" w:type="dxa"/>
            <w:noWrap/>
            <w:hideMark/>
          </w:tcPr>
          <w:p w14:paraId="7AC801D1"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1</w:t>
            </w:r>
            <w:proofErr w:type="gramEnd"/>
            <w:r w:rsidRPr="00EE375D">
              <w:rPr>
                <w:rFonts w:ascii="Calibri" w:eastAsia="Times New Roman" w:hAnsi="Calibri" w:cs="Calibri"/>
                <w:color w:val="000000"/>
                <w:lang w:eastAsia="da-DK"/>
              </w:rPr>
              <w:t xml:space="preserve">.150.000 </w:t>
            </w:r>
          </w:p>
        </w:tc>
        <w:tc>
          <w:tcPr>
            <w:tcW w:w="1551" w:type="dxa"/>
            <w:noWrap/>
            <w:hideMark/>
          </w:tcPr>
          <w:p w14:paraId="65FAAE01"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670</w:t>
            </w:r>
            <w:proofErr w:type="gramEnd"/>
            <w:r w:rsidRPr="00EE375D">
              <w:rPr>
                <w:rFonts w:ascii="Calibri" w:eastAsia="Times New Roman" w:hAnsi="Calibri" w:cs="Calibri"/>
                <w:color w:val="000000"/>
                <w:lang w:eastAsia="da-DK"/>
              </w:rPr>
              <w:t xml:space="preserve">.000 </w:t>
            </w:r>
          </w:p>
        </w:tc>
        <w:tc>
          <w:tcPr>
            <w:tcW w:w="1728" w:type="dxa"/>
            <w:noWrap/>
            <w:hideMark/>
          </w:tcPr>
          <w:p w14:paraId="5CF23899" w14:textId="77777777" w:rsidR="00EE375D" w:rsidRPr="00EE375D" w:rsidRDefault="00EE375D" w:rsidP="00EE375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EE375D">
              <w:rPr>
                <w:rFonts w:ascii="Calibri" w:eastAsia="Times New Roman" w:hAnsi="Calibri" w:cs="Calibri"/>
                <w:color w:val="000000"/>
                <w:lang w:eastAsia="da-DK"/>
              </w:rPr>
              <w:t xml:space="preserve"> </w:t>
            </w:r>
            <w:proofErr w:type="gramStart"/>
            <w:r w:rsidRPr="00EE375D">
              <w:rPr>
                <w:rFonts w:ascii="Calibri" w:eastAsia="Times New Roman" w:hAnsi="Calibri" w:cs="Calibri"/>
                <w:color w:val="000000"/>
                <w:lang w:eastAsia="da-DK"/>
              </w:rPr>
              <w:t>kr.          602</w:t>
            </w:r>
            <w:proofErr w:type="gramEnd"/>
            <w:r w:rsidRPr="00EE375D">
              <w:rPr>
                <w:rFonts w:ascii="Calibri" w:eastAsia="Times New Roman" w:hAnsi="Calibri" w:cs="Calibri"/>
                <w:color w:val="000000"/>
                <w:lang w:eastAsia="da-DK"/>
              </w:rPr>
              <w:t xml:space="preserve">.000 </w:t>
            </w:r>
          </w:p>
        </w:tc>
      </w:tr>
    </w:tbl>
    <w:p w14:paraId="4C12B30A" w14:textId="3B72513D" w:rsidR="00EE375D" w:rsidRPr="006A0FEA" w:rsidRDefault="00EE375D" w:rsidP="003B439E">
      <w:pPr>
        <w:pStyle w:val="NoSpacing"/>
        <w:rPr>
          <w:rFonts w:ascii="Verdana" w:hAnsi="Verdana"/>
          <w:sz w:val="20"/>
        </w:rPr>
      </w:pPr>
      <w:proofErr w:type="spellStart"/>
      <w:r w:rsidRPr="006A0FEA">
        <w:rPr>
          <w:rFonts w:ascii="Verdana" w:hAnsi="Verdana"/>
          <w:sz w:val="20"/>
        </w:rPr>
        <w:t>Anm</w:t>
      </w:r>
      <w:proofErr w:type="spellEnd"/>
      <w:r w:rsidRPr="006A0FEA">
        <w:rPr>
          <w:rFonts w:ascii="Verdana" w:hAnsi="Verdana"/>
          <w:sz w:val="20"/>
        </w:rPr>
        <w:t xml:space="preserve">: </w:t>
      </w:r>
      <w:proofErr w:type="spellStart"/>
      <w:r w:rsidRPr="006A0FEA">
        <w:rPr>
          <w:rFonts w:ascii="Verdana" w:hAnsi="Verdana"/>
          <w:sz w:val="20"/>
        </w:rPr>
        <w:t>Egeneffekten</w:t>
      </w:r>
      <w:proofErr w:type="spellEnd"/>
      <w:r w:rsidRPr="006A0FEA">
        <w:rPr>
          <w:rFonts w:ascii="Verdana" w:hAnsi="Verdana"/>
          <w:sz w:val="20"/>
        </w:rPr>
        <w:t xml:space="preserve"> er korrigeret med 0,6, som er den gennemsnitlige lønandel af BVT for hele økonomien. </w:t>
      </w:r>
    </w:p>
    <w:p w14:paraId="08E16313" w14:textId="1376C1BF" w:rsidR="00EE375D" w:rsidRPr="006A0FEA" w:rsidRDefault="00EE375D" w:rsidP="003B439E">
      <w:pPr>
        <w:pStyle w:val="NoSpacing"/>
        <w:rPr>
          <w:rFonts w:ascii="Verdana" w:hAnsi="Verdana"/>
          <w:sz w:val="20"/>
        </w:rPr>
      </w:pPr>
      <w:r w:rsidRPr="006A0FEA">
        <w:rPr>
          <w:rFonts w:ascii="Verdana" w:hAnsi="Verdana"/>
          <w:sz w:val="20"/>
        </w:rPr>
        <w:t xml:space="preserve">Kilde: </w:t>
      </w:r>
      <w:sdt>
        <w:sdtPr>
          <w:rPr>
            <w:rFonts w:ascii="Verdana" w:hAnsi="Verdana"/>
            <w:sz w:val="20"/>
          </w:rPr>
          <w:id w:val="-1034034652"/>
          <w:citation/>
        </w:sdtPr>
        <w:sdtEndPr/>
        <w:sdtContent>
          <w:r w:rsidR="00A43D40" w:rsidRPr="006A0FEA">
            <w:rPr>
              <w:rFonts w:ascii="Verdana" w:hAnsi="Verdana"/>
              <w:sz w:val="20"/>
            </w:rPr>
            <w:fldChar w:fldCharType="begin"/>
          </w:r>
          <w:r w:rsidR="00A43D40" w:rsidRPr="006A0FEA">
            <w:rPr>
              <w:rFonts w:ascii="Verdana" w:hAnsi="Verdana"/>
              <w:sz w:val="20"/>
            </w:rPr>
            <w:instrText xml:space="preserve"> CITATION Fos13 \l 1030 </w:instrText>
          </w:r>
          <w:r w:rsidR="00A43D40" w:rsidRPr="006A0FEA">
            <w:rPr>
              <w:rFonts w:ascii="Verdana" w:hAnsi="Verdana"/>
              <w:sz w:val="20"/>
            </w:rPr>
            <w:fldChar w:fldCharType="separate"/>
          </w:r>
          <w:r w:rsidR="006A0FEA" w:rsidRPr="006A0FEA">
            <w:rPr>
              <w:rFonts w:ascii="Verdana" w:hAnsi="Verdana"/>
              <w:noProof/>
              <w:sz w:val="20"/>
            </w:rPr>
            <w:t>(Fosse, et al., 2013)</w:t>
          </w:r>
          <w:r w:rsidR="00A43D40" w:rsidRPr="006A0FEA">
            <w:rPr>
              <w:rFonts w:ascii="Verdana" w:hAnsi="Verdana"/>
              <w:sz w:val="20"/>
            </w:rPr>
            <w:fldChar w:fldCharType="end"/>
          </w:r>
        </w:sdtContent>
      </w:sdt>
      <w:r w:rsidR="00A43D40" w:rsidRPr="006A0FEA">
        <w:rPr>
          <w:rFonts w:ascii="Verdana" w:hAnsi="Verdana"/>
          <w:sz w:val="20"/>
        </w:rPr>
        <w:t xml:space="preserve"> </w:t>
      </w:r>
      <w:r w:rsidRPr="006A0FEA">
        <w:rPr>
          <w:rFonts w:ascii="Verdana" w:hAnsi="Verdana"/>
          <w:sz w:val="20"/>
        </w:rPr>
        <w:t xml:space="preserve">og </w:t>
      </w:r>
      <w:sdt>
        <w:sdtPr>
          <w:rPr>
            <w:rFonts w:ascii="Verdana" w:hAnsi="Verdana"/>
            <w:sz w:val="20"/>
          </w:rPr>
          <w:id w:val="-1006285889"/>
          <w:citation/>
        </w:sdtPr>
        <w:sdtEndPr/>
        <w:sdtContent>
          <w:r w:rsidRPr="006A0FEA">
            <w:rPr>
              <w:rFonts w:ascii="Verdana" w:hAnsi="Verdana"/>
              <w:sz w:val="20"/>
            </w:rPr>
            <w:fldChar w:fldCharType="begin"/>
          </w:r>
          <w:r w:rsidR="00A65878" w:rsidRPr="006A0FEA">
            <w:rPr>
              <w:rFonts w:ascii="Verdana" w:hAnsi="Verdana"/>
              <w:sz w:val="20"/>
            </w:rPr>
            <w:instrText xml:space="preserve">CITATION Dan174 \l 1030 </w:instrText>
          </w:r>
          <w:r w:rsidRPr="006A0FEA">
            <w:rPr>
              <w:rFonts w:ascii="Verdana" w:hAnsi="Verdana"/>
              <w:sz w:val="20"/>
            </w:rPr>
            <w:fldChar w:fldCharType="separate"/>
          </w:r>
          <w:r w:rsidR="006A0FEA" w:rsidRPr="006A0FEA">
            <w:rPr>
              <w:rFonts w:ascii="Verdana" w:hAnsi="Verdana"/>
              <w:noProof/>
              <w:sz w:val="20"/>
            </w:rPr>
            <w:t>(Danmarks Statistik III, 2017)</w:t>
          </w:r>
          <w:r w:rsidRPr="006A0FEA">
            <w:rPr>
              <w:rFonts w:ascii="Verdana" w:hAnsi="Verdana"/>
              <w:sz w:val="20"/>
            </w:rPr>
            <w:fldChar w:fldCharType="end"/>
          </w:r>
        </w:sdtContent>
      </w:sdt>
    </w:p>
    <w:p w14:paraId="60D9016D" w14:textId="6D0A197A" w:rsidR="008B1993" w:rsidRDefault="008B1993" w:rsidP="003B439E">
      <w:pPr>
        <w:pStyle w:val="NoSpacing"/>
        <w:rPr>
          <w:rFonts w:ascii="Verdana" w:hAnsi="Verdana"/>
        </w:rPr>
      </w:pPr>
    </w:p>
    <w:p w14:paraId="6204619E" w14:textId="4056D826" w:rsidR="00AB647E" w:rsidRDefault="00A0588F" w:rsidP="003B439E">
      <w:pPr>
        <w:pStyle w:val="NoSpacing"/>
        <w:rPr>
          <w:rFonts w:ascii="Verdana" w:hAnsi="Verdana"/>
        </w:rPr>
      </w:pPr>
      <w:r>
        <w:rPr>
          <w:rFonts w:ascii="Verdana" w:hAnsi="Verdana"/>
        </w:rPr>
        <w:t>Det fremgår af Tabel 8 ovenfor, at produktivitetseffekten – opgjort som indvirkningen på BVT – er 602.000 om året pr. person, der får en lang videregående uddannelse. Skatteministeriet oplyser, at skattetrykket (opgjort med BVT i nævneren) i gennemsnit har været 54 pct. i årene 2000-2016</w:t>
      </w:r>
      <w:r w:rsidR="00A43D40">
        <w:rPr>
          <w:rFonts w:ascii="Verdana" w:hAnsi="Verdana"/>
        </w:rPr>
        <w:t>, hvilket også var tilfældet i 2016</w:t>
      </w:r>
      <w:r>
        <w:rPr>
          <w:rFonts w:ascii="Verdana" w:hAnsi="Verdana"/>
        </w:rPr>
        <w:t xml:space="preserve">. Derved kan uddannelsesløftet for hver enkelt pr. år forventes at give skatte- og afgiftsindtægter for 325.000 kr. </w:t>
      </w:r>
      <w:r w:rsidR="00AB647E">
        <w:rPr>
          <w:rFonts w:ascii="Verdana" w:hAnsi="Verdana"/>
        </w:rPr>
        <w:t xml:space="preserve">pr. år vedkommende er på arbejdsmarkedet. Ifølge Uddannelses- og Forskningsministeriet er medianalderen for en færdiguddannet universitetskandidat ca. 28 år </w:t>
      </w:r>
      <w:sdt>
        <w:sdtPr>
          <w:rPr>
            <w:rFonts w:ascii="Verdana" w:hAnsi="Verdana"/>
          </w:rPr>
          <w:id w:val="-767852931"/>
          <w:citation/>
        </w:sdtPr>
        <w:sdtEndPr/>
        <w:sdtContent>
          <w:r w:rsidR="00AB647E">
            <w:rPr>
              <w:rFonts w:ascii="Verdana" w:hAnsi="Verdana"/>
            </w:rPr>
            <w:fldChar w:fldCharType="begin"/>
          </w:r>
          <w:r w:rsidR="00AB647E">
            <w:rPr>
              <w:rFonts w:ascii="Verdana" w:hAnsi="Verdana"/>
            </w:rPr>
            <w:instrText xml:space="preserve"> CITATION Udd13 \l 1030 </w:instrText>
          </w:r>
          <w:r w:rsidR="00AB647E">
            <w:rPr>
              <w:rFonts w:ascii="Verdana" w:hAnsi="Verdana"/>
            </w:rPr>
            <w:fldChar w:fldCharType="separate"/>
          </w:r>
          <w:r w:rsidR="006A0FEA" w:rsidRPr="006A0FEA">
            <w:rPr>
              <w:rFonts w:ascii="Verdana" w:hAnsi="Verdana"/>
              <w:noProof/>
            </w:rPr>
            <w:t>(Uddannelses- og Forskningsministeriet, 2013)</w:t>
          </w:r>
          <w:r w:rsidR="00AB647E">
            <w:rPr>
              <w:rFonts w:ascii="Verdana" w:hAnsi="Verdana"/>
            </w:rPr>
            <w:fldChar w:fldCharType="end"/>
          </w:r>
        </w:sdtContent>
      </w:sdt>
      <w:r w:rsidR="00AB647E">
        <w:rPr>
          <w:rFonts w:ascii="Verdana" w:hAnsi="Verdana"/>
        </w:rPr>
        <w:t xml:space="preserve">. Da folkepensionsalderen bliver levetidskorrigeret løbende, er det umuligt på nuværende tidspunkt at fastsætte den eksakte pensionsalder for fremtiden, derfor tages der udgangspunkt i den nuværende folkepensionsalder for alle der er under 55 år, nemlig en pensionsalder på 68 år. Dette giver sammenlagt 40 år på arbejdsmarkedet for personer med en kandidatuddannelse. </w:t>
      </w:r>
    </w:p>
    <w:p w14:paraId="01C1B5E4" w14:textId="77777777" w:rsidR="00A0588F" w:rsidRDefault="00A0588F" w:rsidP="003B439E">
      <w:pPr>
        <w:pStyle w:val="NoSpacing"/>
        <w:rPr>
          <w:rFonts w:ascii="Verdana" w:hAnsi="Verdana"/>
        </w:rPr>
      </w:pPr>
    </w:p>
    <w:p w14:paraId="6F97BDDA" w14:textId="3503B4A9" w:rsidR="00A0588F" w:rsidRDefault="00946CE6" w:rsidP="003B439E">
      <w:pPr>
        <w:pStyle w:val="NoSpacing"/>
        <w:rPr>
          <w:rFonts w:ascii="Verdana" w:hAnsi="Verdana"/>
        </w:rPr>
      </w:pPr>
      <w:r>
        <w:rPr>
          <w:rFonts w:ascii="Verdana" w:hAnsi="Verdana"/>
        </w:rPr>
        <w:lastRenderedPageBreak/>
        <w:t xml:space="preserve">Sammenlagt kan det offentlige altså forvente øgede skatteindtægter på 325.000 </w:t>
      </w:r>
      <w:r w:rsidR="002D2C10">
        <w:rPr>
          <w:rFonts w:ascii="Verdana" w:hAnsi="Verdana"/>
        </w:rPr>
        <w:t xml:space="preserve">kr. </w:t>
      </w:r>
      <w:r>
        <w:rPr>
          <w:rFonts w:ascii="Verdana" w:hAnsi="Verdana"/>
        </w:rPr>
        <w:t xml:space="preserve">pr. person i 40 år for i alt </w:t>
      </w:r>
      <w:r w:rsidR="0041016C">
        <w:rPr>
          <w:rFonts w:ascii="Verdana" w:hAnsi="Verdana"/>
        </w:rPr>
        <w:t>10</w:t>
      </w:r>
      <w:r>
        <w:rPr>
          <w:rFonts w:ascii="Verdana" w:hAnsi="Verdana"/>
        </w:rPr>
        <w:t xml:space="preserve">0 personer. Det giver i alt øgede indtægter for </w:t>
      </w:r>
      <w:r w:rsidR="0041016C">
        <w:rPr>
          <w:rFonts w:ascii="Verdana" w:hAnsi="Verdana"/>
        </w:rPr>
        <w:t>1.300</w:t>
      </w:r>
      <w:r>
        <w:rPr>
          <w:rFonts w:ascii="Verdana" w:hAnsi="Verdana"/>
        </w:rPr>
        <w:t xml:space="preserve"> mio. kr. </w:t>
      </w:r>
    </w:p>
    <w:p w14:paraId="47D6C20E" w14:textId="77777777" w:rsidR="00A0588F" w:rsidRDefault="00A0588F" w:rsidP="003B439E">
      <w:pPr>
        <w:pStyle w:val="NoSpacing"/>
        <w:rPr>
          <w:rFonts w:ascii="Verdana" w:hAnsi="Verdana"/>
        </w:rPr>
      </w:pPr>
    </w:p>
    <w:p w14:paraId="623BE3C6" w14:textId="5A8526E4" w:rsidR="008B2161" w:rsidRDefault="008B2161" w:rsidP="008B2161">
      <w:pPr>
        <w:pStyle w:val="NoSpacing"/>
        <w:rPr>
          <w:rFonts w:ascii="Verdana" w:hAnsi="Verdana"/>
        </w:rPr>
      </w:pPr>
      <w:r>
        <w:rPr>
          <w:rFonts w:ascii="Verdana" w:hAnsi="Verdana"/>
        </w:rPr>
        <w:t xml:space="preserve">Som nævnt er der imidlertid også </w:t>
      </w:r>
      <w:r w:rsidR="00A43D40">
        <w:rPr>
          <w:rFonts w:ascii="Verdana" w:hAnsi="Verdana"/>
        </w:rPr>
        <w:t xml:space="preserve">indirekte </w:t>
      </w:r>
      <w:r>
        <w:rPr>
          <w:rFonts w:ascii="Verdana" w:hAnsi="Verdana"/>
        </w:rPr>
        <w:t>omkostninger for den offentlige sektor, når produktiviteten i samfundet stiger. Finansministeriet peger i Finansredegørelsen fra 2014 på følgende omkostninger:</w:t>
      </w:r>
    </w:p>
    <w:p w14:paraId="151BE3D8" w14:textId="77777777" w:rsidR="008B2161" w:rsidRDefault="008B2161" w:rsidP="008B2161">
      <w:pPr>
        <w:pStyle w:val="NoSpacing"/>
        <w:rPr>
          <w:rFonts w:ascii="Verdana" w:hAnsi="Verdana"/>
        </w:rPr>
      </w:pPr>
    </w:p>
    <w:p w14:paraId="47E8AA70" w14:textId="515D167F" w:rsidR="008B2161" w:rsidRDefault="008B2161" w:rsidP="008B2161">
      <w:pPr>
        <w:pStyle w:val="NoSpacing"/>
        <w:numPr>
          <w:ilvl w:val="0"/>
          <w:numId w:val="15"/>
        </w:numPr>
        <w:rPr>
          <w:rFonts w:ascii="Verdana" w:hAnsi="Verdana"/>
        </w:rPr>
      </w:pPr>
      <w:r>
        <w:rPr>
          <w:rFonts w:ascii="Verdana" w:hAnsi="Verdana"/>
        </w:rPr>
        <w:t>Større udgifter til løn til offentlige ansatte, idet der antages samme lønstigningstakt i den offentlige sektor som i den private sektor</w:t>
      </w:r>
    </w:p>
    <w:p w14:paraId="7B34E9DD" w14:textId="5A26D40B" w:rsidR="008B2161" w:rsidRPr="008B2161" w:rsidRDefault="008B2161" w:rsidP="008B2161">
      <w:pPr>
        <w:pStyle w:val="NoSpacing"/>
        <w:numPr>
          <w:ilvl w:val="0"/>
          <w:numId w:val="15"/>
        </w:numPr>
        <w:rPr>
          <w:rFonts w:ascii="Verdana" w:hAnsi="Verdana"/>
        </w:rPr>
      </w:pPr>
      <w:r w:rsidRPr="008B2161">
        <w:rPr>
          <w:rFonts w:ascii="Verdana" w:hAnsi="Verdana"/>
        </w:rPr>
        <w:t>Større udgifter til offentligt varekøb, idet der antages et uændret forhold mellem varekøb og offentlig lønsum. Det svarer til, at der i forløbet efter 2020 antages en realvækst i det offentliges køb af varer og tjenester, som svarer til den reale velstandsstigning i økonomien, så det offentlige varekøb udgør</w:t>
      </w:r>
      <w:r>
        <w:rPr>
          <w:rFonts w:ascii="Verdana" w:hAnsi="Verdana"/>
        </w:rPr>
        <w:t xml:space="preserve"> </w:t>
      </w:r>
      <w:r w:rsidRPr="008B2161">
        <w:rPr>
          <w:rFonts w:ascii="Verdana" w:hAnsi="Verdana"/>
        </w:rPr>
        <w:t>en uændret andel af BNP</w:t>
      </w:r>
      <w:r>
        <w:rPr>
          <w:rFonts w:ascii="Verdana" w:hAnsi="Verdana"/>
        </w:rPr>
        <w:t>.</w:t>
      </w:r>
    </w:p>
    <w:p w14:paraId="3C9CD54B" w14:textId="0E0A3385" w:rsidR="008B2161" w:rsidRPr="008B2161" w:rsidRDefault="008B2161" w:rsidP="008B2161">
      <w:pPr>
        <w:pStyle w:val="NoSpacing"/>
        <w:numPr>
          <w:ilvl w:val="0"/>
          <w:numId w:val="15"/>
        </w:numPr>
        <w:rPr>
          <w:rFonts w:ascii="Verdana" w:hAnsi="Verdana"/>
        </w:rPr>
      </w:pPr>
      <w:r w:rsidRPr="008B2161">
        <w:rPr>
          <w:rFonts w:ascii="Verdana" w:hAnsi="Verdana"/>
        </w:rPr>
        <w:t>Større udgifter til indkomstoverførsler, idet satsreguleringen omtrent følger den gennemsnitlige lønudvikling</w:t>
      </w:r>
      <w:r>
        <w:rPr>
          <w:rFonts w:ascii="Verdana" w:hAnsi="Verdana"/>
        </w:rPr>
        <w:t xml:space="preserve"> </w:t>
      </w:r>
      <w:r w:rsidRPr="008B2161">
        <w:rPr>
          <w:rFonts w:ascii="Verdana" w:hAnsi="Verdana"/>
        </w:rPr>
        <w:t>i den private sektor</w:t>
      </w:r>
      <w:r>
        <w:rPr>
          <w:rFonts w:ascii="Verdana" w:hAnsi="Verdana"/>
        </w:rPr>
        <w:t xml:space="preserve"> </w:t>
      </w:r>
      <w:sdt>
        <w:sdtPr>
          <w:rPr>
            <w:rFonts w:ascii="Verdana" w:hAnsi="Verdana"/>
          </w:rPr>
          <w:id w:val="700750250"/>
          <w:citation/>
        </w:sdtPr>
        <w:sdtEndPr/>
        <w:sdtContent>
          <w:r>
            <w:rPr>
              <w:rFonts w:ascii="Verdana" w:hAnsi="Verdana"/>
            </w:rPr>
            <w:fldChar w:fldCharType="begin"/>
          </w:r>
          <w:r>
            <w:rPr>
              <w:rFonts w:ascii="Verdana" w:hAnsi="Verdana"/>
            </w:rPr>
            <w:instrText xml:space="preserve"> CITATION Fin14 \l 1030 </w:instrText>
          </w:r>
          <w:r>
            <w:rPr>
              <w:rFonts w:ascii="Verdana" w:hAnsi="Verdana"/>
            </w:rPr>
            <w:fldChar w:fldCharType="separate"/>
          </w:r>
          <w:r w:rsidR="006A0FEA" w:rsidRPr="006A0FEA">
            <w:rPr>
              <w:rFonts w:ascii="Verdana" w:hAnsi="Verdana"/>
              <w:noProof/>
            </w:rPr>
            <w:t>(Finansministeriet, 2014)</w:t>
          </w:r>
          <w:r>
            <w:rPr>
              <w:rFonts w:ascii="Verdana" w:hAnsi="Verdana"/>
            </w:rPr>
            <w:fldChar w:fldCharType="end"/>
          </w:r>
        </w:sdtContent>
      </w:sdt>
      <w:r w:rsidRPr="008B2161">
        <w:rPr>
          <w:rFonts w:ascii="Verdana" w:hAnsi="Verdana"/>
        </w:rPr>
        <w:t>.</w:t>
      </w:r>
    </w:p>
    <w:p w14:paraId="31A21056" w14:textId="77777777" w:rsidR="008B2161" w:rsidRDefault="008B2161" w:rsidP="008B1993">
      <w:pPr>
        <w:pStyle w:val="NoSpacing"/>
        <w:rPr>
          <w:rFonts w:ascii="Verdana" w:hAnsi="Verdana"/>
        </w:rPr>
      </w:pPr>
    </w:p>
    <w:p w14:paraId="657A60F0" w14:textId="03236EDF" w:rsidR="00E371A3" w:rsidRDefault="008B2161" w:rsidP="008B1993">
      <w:pPr>
        <w:pStyle w:val="NoSpacing"/>
        <w:rPr>
          <w:rFonts w:ascii="Verdana" w:hAnsi="Verdana"/>
        </w:rPr>
      </w:pPr>
      <w:r>
        <w:rPr>
          <w:rFonts w:ascii="Verdana" w:hAnsi="Verdana"/>
        </w:rPr>
        <w:t xml:space="preserve">I det følgende antages det dog ikke, at der eksisterer et fast forhold mellem offentligt varekøb og offentlig lønsum. Årsagen til dette valg er, at der for tiden tegner sig et entydigt politisk billede af, at man ikke </w:t>
      </w:r>
      <w:proofErr w:type="gramStart"/>
      <w:r>
        <w:rPr>
          <w:rFonts w:ascii="Verdana" w:hAnsi="Verdana"/>
        </w:rPr>
        <w:t>ønsker</w:t>
      </w:r>
      <w:r w:rsidR="00733988">
        <w:rPr>
          <w:rFonts w:ascii="Verdana" w:hAnsi="Verdana"/>
        </w:rPr>
        <w:t>,</w:t>
      </w:r>
      <w:r>
        <w:rPr>
          <w:rFonts w:ascii="Verdana" w:hAnsi="Verdana"/>
        </w:rPr>
        <w:t xml:space="preserve">  det</w:t>
      </w:r>
      <w:proofErr w:type="gramEnd"/>
      <w:r>
        <w:rPr>
          <w:rFonts w:ascii="Verdana" w:hAnsi="Verdana"/>
        </w:rPr>
        <w:t xml:space="preserve"> offentlige forbrug skal følge en generel velstandsudvikling. </w:t>
      </w:r>
      <w:r w:rsidR="00E371A3">
        <w:rPr>
          <w:rFonts w:ascii="Verdana" w:hAnsi="Verdana"/>
        </w:rPr>
        <w:t xml:space="preserve">I en situation, hvor størstedelen af Folketingets partier (sammenlagt omtrent 4/5 af mandaterne) klart afviser tanken om at lade det offentlige forbrug følge den generelle velstandsudvikling – hvilket vil kræve en vækst i det offentlige forbrug på omtrent 1,1 pct. frem mod 2025 – virker denne antagelse således ikke realistisk. Derfor vil der i det følgende alene blive fokuseret på 1) og 3) fra listen ovenfor. </w:t>
      </w:r>
    </w:p>
    <w:p w14:paraId="773556FB" w14:textId="77777777" w:rsidR="00E371A3" w:rsidRDefault="00E371A3" w:rsidP="008B1993">
      <w:pPr>
        <w:pStyle w:val="NoSpacing"/>
        <w:rPr>
          <w:rFonts w:ascii="Verdana" w:hAnsi="Verdana"/>
        </w:rPr>
      </w:pPr>
    </w:p>
    <w:p w14:paraId="5A991C68" w14:textId="77777777" w:rsidR="00E371A3" w:rsidRDefault="00E371A3" w:rsidP="008B1993">
      <w:pPr>
        <w:pStyle w:val="NoSpacing"/>
        <w:rPr>
          <w:rFonts w:ascii="Verdana" w:hAnsi="Verdana"/>
          <w:i/>
        </w:rPr>
      </w:pPr>
      <w:r>
        <w:rPr>
          <w:rFonts w:ascii="Verdana" w:hAnsi="Verdana"/>
          <w:i/>
        </w:rPr>
        <w:t>Større udgifter til aflønning af offentlige ansatte</w:t>
      </w:r>
    </w:p>
    <w:p w14:paraId="7C1A0AE0" w14:textId="4241D78E" w:rsidR="008B1993" w:rsidRDefault="009C3B20" w:rsidP="008B1993">
      <w:pPr>
        <w:pStyle w:val="NoSpacing"/>
        <w:rPr>
          <w:rFonts w:ascii="Verdana" w:hAnsi="Verdana"/>
        </w:rPr>
      </w:pPr>
      <w:r>
        <w:rPr>
          <w:rFonts w:ascii="Verdana" w:hAnsi="Verdana"/>
        </w:rPr>
        <w:t xml:space="preserve">Det fremgår af Danmarks Statistik, at 32 pct. af </w:t>
      </w:r>
      <w:r w:rsidR="00220AF7">
        <w:rPr>
          <w:rFonts w:ascii="Verdana" w:hAnsi="Verdana"/>
        </w:rPr>
        <w:t>de beskæftigede (opgjort i antal fuldtidsbeskæftigede) i 2016 var ansatte i den offentlige sektor (OBESK3 og LBESK22). Under antagelse af, at de offentlige lønninger udvikler sig præcist parallelt med de private, og at den samlede BVT-effekt på langt sigt sætter sig i lønudvikling må det nødvendigvis følge, at den offentlige sektor skal dække 32 pct. af den samlede produktivitetsgevinst</w:t>
      </w:r>
      <w:r w:rsidR="00A43D40">
        <w:rPr>
          <w:rFonts w:ascii="Verdana" w:hAnsi="Verdana"/>
        </w:rPr>
        <w:t xml:space="preserve"> – og dermed lønstigning</w:t>
      </w:r>
      <w:r w:rsidR="00220AF7">
        <w:rPr>
          <w:rFonts w:ascii="Verdana" w:hAnsi="Verdana"/>
        </w:rPr>
        <w:t xml:space="preserve">, som uddannelsesløftet giver anledning til. Dette kan beregnes som </w:t>
      </w:r>
      <w:r w:rsidR="003B10A9">
        <w:rPr>
          <w:rFonts w:ascii="Verdana" w:hAnsi="Verdana"/>
        </w:rPr>
        <w:t>32 pct.</w:t>
      </w:r>
      <w:r w:rsidR="00220AF7">
        <w:rPr>
          <w:rFonts w:ascii="Verdana" w:hAnsi="Verdana"/>
        </w:rPr>
        <w:t xml:space="preserve"> af totaleffekten fra Tabel 8 (efter justering) over 40 år for </w:t>
      </w:r>
      <w:r w:rsidR="00E32C90">
        <w:rPr>
          <w:rFonts w:ascii="Verdana" w:hAnsi="Verdana"/>
        </w:rPr>
        <w:t>10</w:t>
      </w:r>
      <w:r w:rsidR="00220AF7">
        <w:rPr>
          <w:rFonts w:ascii="Verdana" w:hAnsi="Verdana"/>
        </w:rPr>
        <w:t xml:space="preserve">0 personer, hvilket </w:t>
      </w:r>
      <w:r w:rsidR="000C1B18">
        <w:rPr>
          <w:rFonts w:ascii="Verdana" w:hAnsi="Verdana"/>
        </w:rPr>
        <w:t xml:space="preserve">giver </w:t>
      </w:r>
      <w:r w:rsidR="00E32C90">
        <w:rPr>
          <w:rFonts w:ascii="Verdana" w:hAnsi="Verdana"/>
        </w:rPr>
        <w:t>416</w:t>
      </w:r>
      <w:r w:rsidR="00916D91">
        <w:rPr>
          <w:rFonts w:ascii="Verdana" w:hAnsi="Verdana"/>
        </w:rPr>
        <w:t xml:space="preserve"> mio. kr. i øgede lønomkostninger for det offentlige.</w:t>
      </w:r>
    </w:p>
    <w:p w14:paraId="3139D27E" w14:textId="6CD8239E" w:rsidR="00916D91" w:rsidRDefault="00916D91" w:rsidP="008B1993">
      <w:pPr>
        <w:pStyle w:val="NoSpacing"/>
        <w:rPr>
          <w:rFonts w:ascii="Verdana" w:hAnsi="Verdana"/>
        </w:rPr>
      </w:pPr>
    </w:p>
    <w:p w14:paraId="3ADB5611" w14:textId="50072394" w:rsidR="00916D91" w:rsidRDefault="00916D91" w:rsidP="008B1993">
      <w:pPr>
        <w:pStyle w:val="NoSpacing"/>
        <w:rPr>
          <w:rFonts w:ascii="Verdana" w:hAnsi="Verdana"/>
          <w:i/>
        </w:rPr>
      </w:pPr>
      <w:r>
        <w:rPr>
          <w:rFonts w:ascii="Verdana" w:hAnsi="Verdana"/>
          <w:i/>
        </w:rPr>
        <w:t>Større udgifter til indkomstoverførsler</w:t>
      </w:r>
    </w:p>
    <w:p w14:paraId="3CECB458" w14:textId="0161243A" w:rsidR="00823529" w:rsidRDefault="00097198" w:rsidP="008B1993">
      <w:pPr>
        <w:pStyle w:val="NoSpacing"/>
        <w:rPr>
          <w:rFonts w:ascii="Verdana" w:hAnsi="Verdana"/>
        </w:rPr>
      </w:pPr>
      <w:r>
        <w:rPr>
          <w:rFonts w:ascii="Verdana" w:hAnsi="Verdana"/>
        </w:rPr>
        <w:t>I Danmark</w:t>
      </w:r>
      <w:r w:rsidR="00F0342A">
        <w:rPr>
          <w:rFonts w:ascii="Verdana" w:hAnsi="Verdana"/>
        </w:rPr>
        <w:t xml:space="preserve"> reguleres en række overførsler årligt via satsreguleringen. Med virkning fra Finansåret 2018 har man ændret opgørelsen af reguleringsprocenten, så den nu følger udviklingen i bruttolønnen for arbejdere og funktionærer med vægte, der løbende opdateres. Førhen anvendtes faste </w:t>
      </w:r>
      <w:r w:rsidR="00F0342A">
        <w:rPr>
          <w:rFonts w:ascii="Verdana" w:hAnsi="Verdana"/>
        </w:rPr>
        <w:lastRenderedPageBreak/>
        <w:t xml:space="preserve">vægte, hvilket medførte, at et uddannelsesløft, der flyttede én person fra at være ufaglært til at have en videregående uddannelse (og dermed gå fra at være arbejder til at være funktionær), ville satsreguleringen ikke følge med op, når den generelle produktivitet udviklede sig. Dette er altså ikke tilfældet længere. Således ville et sådan uddannelsesløft </w:t>
      </w:r>
      <w:r w:rsidR="00F0342A">
        <w:rPr>
          <w:rFonts w:ascii="Verdana" w:hAnsi="Verdana"/>
          <w:i/>
        </w:rPr>
        <w:t>på tværs af grupper</w:t>
      </w:r>
      <w:r w:rsidR="00F0342A">
        <w:rPr>
          <w:rFonts w:ascii="Verdana" w:hAnsi="Verdana"/>
        </w:rPr>
        <w:t xml:space="preserve">, som før ikke gav anledning til stigende satser i overførselsindkomstsystemet, i dag medføre en tilsvarende procentuel udvikling. </w:t>
      </w:r>
    </w:p>
    <w:p w14:paraId="04F226EF" w14:textId="4297632A" w:rsidR="00F0342A" w:rsidRDefault="00F0342A" w:rsidP="008B1993">
      <w:pPr>
        <w:pStyle w:val="NoSpacing"/>
        <w:rPr>
          <w:rFonts w:ascii="Verdana" w:hAnsi="Verdana"/>
        </w:rPr>
      </w:pPr>
    </w:p>
    <w:p w14:paraId="44C40A0A" w14:textId="063E429B" w:rsidR="00F0342A" w:rsidRDefault="00F0342A" w:rsidP="008B1993">
      <w:pPr>
        <w:pStyle w:val="NoSpacing"/>
        <w:rPr>
          <w:rFonts w:ascii="Verdana" w:hAnsi="Verdana"/>
        </w:rPr>
      </w:pPr>
      <w:r>
        <w:rPr>
          <w:rFonts w:ascii="Verdana" w:hAnsi="Verdana"/>
        </w:rPr>
        <w:t xml:space="preserve">Da vi, som tidligere angivet, antager at den samlede BVT-effekt sætter sig i lønningerne som lønstigninger, har vi mulighed for at foretage et groft skøn over, hvor meget de offentlige overførsler vil stige som konsekvens af uddannelsesløftet. I praksis udregnes satsreguleringsprocenten via en opgørelse af timelønnen for hhv. arbejdere og funktionærer. I det følgende vil vi, forsimplende, antage at </w:t>
      </w:r>
      <w:r w:rsidR="009710CD">
        <w:rPr>
          <w:rFonts w:ascii="Verdana" w:hAnsi="Verdana"/>
        </w:rPr>
        <w:t>udviklingen i satsreguleringsprocenten kan beregnes ud fra en alt-andet-lige betragtning, hvor hverken erlagte timer, beskæftigelse eller andet ændrer sig, med undtagelse af den samlede fortjeneste for lønmodtagerne. Dette giver os et skøn over hvilken lønudvikling, som uddannelsesløftet giver anledning til.</w:t>
      </w:r>
    </w:p>
    <w:p w14:paraId="1D8DDD86" w14:textId="0E2C07A1" w:rsidR="009710CD" w:rsidRDefault="009710CD" w:rsidP="008B1993">
      <w:pPr>
        <w:pStyle w:val="NoSpacing"/>
        <w:rPr>
          <w:rFonts w:ascii="Verdana" w:hAnsi="Verdana"/>
        </w:rPr>
      </w:pPr>
    </w:p>
    <w:p w14:paraId="4A2D718C" w14:textId="455A40B4" w:rsidR="009710CD" w:rsidRDefault="009710CD" w:rsidP="008B1993">
      <w:pPr>
        <w:pStyle w:val="NoSpacing"/>
        <w:rPr>
          <w:rFonts w:ascii="Verdana" w:hAnsi="Verdana"/>
        </w:rPr>
      </w:pPr>
      <w:r>
        <w:rPr>
          <w:rFonts w:ascii="Verdana" w:hAnsi="Verdana"/>
        </w:rPr>
        <w:t>Fra Danmarks Statistiks indkomstregistre fremgår det, at det samlede indkomstbeløb fra kategorien ’løn’ i 2016 var på 940.350 mio. kr.</w:t>
      </w:r>
      <w:r w:rsidR="003C19F6">
        <w:rPr>
          <w:rFonts w:ascii="Verdana" w:hAnsi="Verdana"/>
        </w:rPr>
        <w:t xml:space="preserve"> </w:t>
      </w:r>
      <w:sdt>
        <w:sdtPr>
          <w:rPr>
            <w:rFonts w:ascii="Verdana" w:hAnsi="Verdana"/>
          </w:rPr>
          <w:id w:val="-2030473702"/>
          <w:citation/>
        </w:sdtPr>
        <w:sdtEndPr/>
        <w:sdtContent>
          <w:r w:rsidR="00A65878">
            <w:rPr>
              <w:rFonts w:ascii="Verdana" w:hAnsi="Verdana"/>
            </w:rPr>
            <w:fldChar w:fldCharType="begin"/>
          </w:r>
          <w:r w:rsidR="00A65878">
            <w:rPr>
              <w:rFonts w:ascii="Verdana" w:hAnsi="Verdana"/>
            </w:rPr>
            <w:instrText xml:space="preserve"> CITATION Dan173 \l 1030 </w:instrText>
          </w:r>
          <w:r w:rsidR="00A65878">
            <w:rPr>
              <w:rFonts w:ascii="Verdana" w:hAnsi="Verdana"/>
            </w:rPr>
            <w:fldChar w:fldCharType="separate"/>
          </w:r>
          <w:r w:rsidR="006A0FEA" w:rsidRPr="006A0FEA">
            <w:rPr>
              <w:rFonts w:ascii="Verdana" w:hAnsi="Verdana"/>
              <w:noProof/>
            </w:rPr>
            <w:t>(Danmarks Statistik II, 2017)</w:t>
          </w:r>
          <w:r w:rsidR="00A65878">
            <w:rPr>
              <w:rFonts w:ascii="Verdana" w:hAnsi="Verdana"/>
            </w:rPr>
            <w:fldChar w:fldCharType="end"/>
          </w:r>
        </w:sdtContent>
      </w:sdt>
      <w:r w:rsidR="00A65878">
        <w:rPr>
          <w:rFonts w:ascii="Verdana" w:hAnsi="Verdana"/>
        </w:rPr>
        <w:t xml:space="preserve">. </w:t>
      </w:r>
      <w:r>
        <w:rPr>
          <w:rFonts w:ascii="Verdana" w:hAnsi="Verdana"/>
        </w:rPr>
        <w:t>Ud fra ovenstående har vi, at uddannelsesløftet giver anledning til et samlet løft af lønindkomsterne (igen under antagelse af, at hele produktivitetsgevinsten ultimativt sætter sig i lønninger) på 60</w:t>
      </w:r>
      <w:r w:rsidR="003B10A9">
        <w:rPr>
          <w:rFonts w:ascii="Verdana" w:hAnsi="Verdana"/>
        </w:rPr>
        <w:t>2</w:t>
      </w:r>
      <w:r w:rsidR="00A27B03">
        <w:rPr>
          <w:rFonts w:ascii="Verdana" w:hAnsi="Verdana"/>
        </w:rPr>
        <w:t>.000 kr. for hver af de 100, der opnår en kandidatuddannelse</w:t>
      </w:r>
      <w:r>
        <w:rPr>
          <w:rFonts w:ascii="Verdana" w:hAnsi="Verdana"/>
        </w:rPr>
        <w:t xml:space="preserve">. Det giver i alt </w:t>
      </w:r>
      <w:r w:rsidR="003B10A9">
        <w:rPr>
          <w:rFonts w:ascii="Verdana" w:hAnsi="Verdana"/>
        </w:rPr>
        <w:t xml:space="preserve">ca. </w:t>
      </w:r>
      <w:r w:rsidR="00A27B03">
        <w:rPr>
          <w:rFonts w:ascii="Verdana" w:hAnsi="Verdana"/>
        </w:rPr>
        <w:t>60</w:t>
      </w:r>
      <w:r>
        <w:rPr>
          <w:rFonts w:ascii="Verdana" w:hAnsi="Verdana"/>
        </w:rPr>
        <w:t xml:space="preserve"> mio. kr. Det svarer til en g</w:t>
      </w:r>
      <w:r w:rsidR="00A27B03">
        <w:rPr>
          <w:rFonts w:ascii="Verdana" w:hAnsi="Verdana"/>
        </w:rPr>
        <w:t>ennemsnitlig lønudvikling på 0,0065</w:t>
      </w:r>
      <w:r>
        <w:rPr>
          <w:rFonts w:ascii="Verdana" w:hAnsi="Verdana"/>
        </w:rPr>
        <w:t xml:space="preserve"> pct.</w:t>
      </w:r>
    </w:p>
    <w:p w14:paraId="19C75C6D" w14:textId="045CF38C" w:rsidR="009710CD" w:rsidRDefault="009710CD" w:rsidP="008B1993">
      <w:pPr>
        <w:pStyle w:val="NoSpacing"/>
        <w:rPr>
          <w:rFonts w:ascii="Verdana" w:hAnsi="Verdana"/>
        </w:rPr>
      </w:pPr>
    </w:p>
    <w:p w14:paraId="14337BB3" w14:textId="7CCC6125" w:rsidR="0016000A" w:rsidRDefault="009710CD" w:rsidP="00821FBE">
      <w:pPr>
        <w:pStyle w:val="NoSpacing"/>
        <w:rPr>
          <w:rFonts w:ascii="Verdana" w:hAnsi="Verdana"/>
        </w:rPr>
      </w:pPr>
      <w:r>
        <w:rPr>
          <w:rFonts w:ascii="Verdana" w:hAnsi="Verdana"/>
        </w:rPr>
        <w:t>Det er imidlertid ikke alle</w:t>
      </w:r>
      <w:r w:rsidR="00D1177F">
        <w:rPr>
          <w:rFonts w:ascii="Verdana" w:hAnsi="Verdana"/>
        </w:rPr>
        <w:t xml:space="preserve"> transfereringer, som</w:t>
      </w:r>
      <w:r w:rsidR="003C19F6">
        <w:rPr>
          <w:rFonts w:ascii="Verdana" w:hAnsi="Verdana"/>
        </w:rPr>
        <w:t xml:space="preserve"> satsreguleres. Et eksempel er børne- og ungeydelsen. I det følgende skøn vil vi antage, at 90 pct. af de samlede offentlige overførsler satsreguleres</w:t>
      </w:r>
      <w:r w:rsidR="00FA1658">
        <w:rPr>
          <w:rFonts w:ascii="Verdana" w:hAnsi="Verdana"/>
        </w:rPr>
        <w:t>. A</w:t>
      </w:r>
      <w:r w:rsidR="007B2C13">
        <w:rPr>
          <w:rFonts w:ascii="Verdana" w:hAnsi="Verdana"/>
        </w:rPr>
        <w:t xml:space="preserve">lene børne- og ungeydelsen udgør 4 pct. af de samlede offentlige overførsler. På den baggrund skønnes denne antagelse </w:t>
      </w:r>
      <w:r w:rsidR="00FA1658">
        <w:rPr>
          <w:rFonts w:ascii="Verdana" w:hAnsi="Verdana"/>
        </w:rPr>
        <w:t>at være realistisk</w:t>
      </w:r>
      <w:r w:rsidR="003C19F6">
        <w:rPr>
          <w:rFonts w:ascii="Verdana" w:hAnsi="Verdana"/>
        </w:rPr>
        <w:t>. Af Danmarks Statistiks registre for indkomstoverførsler til husholdninger fremgår det, at det offentlige i alt transfererede 354.700 mio. til husholdningerne i 2016</w:t>
      </w:r>
      <w:r w:rsidR="00A94385">
        <w:rPr>
          <w:rFonts w:ascii="Verdana" w:hAnsi="Verdana"/>
        </w:rPr>
        <w:t xml:space="preserve"> </w:t>
      </w:r>
      <w:sdt>
        <w:sdtPr>
          <w:rPr>
            <w:rFonts w:ascii="Verdana" w:hAnsi="Verdana"/>
          </w:rPr>
          <w:id w:val="459545230"/>
          <w:citation/>
        </w:sdtPr>
        <w:sdtEndPr/>
        <w:sdtContent>
          <w:r w:rsidR="00A94385">
            <w:rPr>
              <w:rFonts w:ascii="Verdana" w:hAnsi="Verdana"/>
            </w:rPr>
            <w:fldChar w:fldCharType="begin"/>
          </w:r>
          <w:r w:rsidR="00A94385">
            <w:rPr>
              <w:rFonts w:ascii="Verdana" w:hAnsi="Verdana"/>
            </w:rPr>
            <w:instrText xml:space="preserve">CITATION Dan175 \l 1030 </w:instrText>
          </w:r>
          <w:r w:rsidR="00A94385">
            <w:rPr>
              <w:rFonts w:ascii="Verdana" w:hAnsi="Verdana"/>
            </w:rPr>
            <w:fldChar w:fldCharType="separate"/>
          </w:r>
          <w:r w:rsidR="006A0FEA" w:rsidRPr="006A0FEA">
            <w:rPr>
              <w:rFonts w:ascii="Verdana" w:hAnsi="Verdana"/>
              <w:noProof/>
            </w:rPr>
            <w:t>(Danmarks Statistik IV, 2017)</w:t>
          </w:r>
          <w:r w:rsidR="00A94385">
            <w:rPr>
              <w:rFonts w:ascii="Verdana" w:hAnsi="Verdana"/>
            </w:rPr>
            <w:fldChar w:fldCharType="end"/>
          </w:r>
        </w:sdtContent>
      </w:sdt>
      <w:r w:rsidR="003C19F6">
        <w:rPr>
          <w:rFonts w:ascii="Verdana" w:hAnsi="Verdana"/>
        </w:rPr>
        <w:t xml:space="preserve">. </w:t>
      </w:r>
      <w:r w:rsidR="003B10A9">
        <w:rPr>
          <w:rFonts w:ascii="Verdana" w:hAnsi="Verdana"/>
        </w:rPr>
        <w:t>90 pct. af dette beløb er 319.230 mi</w:t>
      </w:r>
      <w:r w:rsidR="009C307D">
        <w:rPr>
          <w:rFonts w:ascii="Verdana" w:hAnsi="Verdana"/>
        </w:rPr>
        <w:t>o. En stigning på 0,0065</w:t>
      </w:r>
      <w:r w:rsidR="003B10A9">
        <w:rPr>
          <w:rFonts w:ascii="Verdana" w:hAnsi="Verdana"/>
        </w:rPr>
        <w:t xml:space="preserve"> pct. ville medføre ekstraomkost</w:t>
      </w:r>
      <w:r w:rsidR="009C307D">
        <w:rPr>
          <w:rFonts w:ascii="Verdana" w:hAnsi="Verdana"/>
        </w:rPr>
        <w:t>ninger for det offentlige på 21</w:t>
      </w:r>
      <w:r w:rsidR="003B10A9">
        <w:rPr>
          <w:rFonts w:ascii="Verdana" w:hAnsi="Verdana"/>
        </w:rPr>
        <w:t xml:space="preserve"> mio. kr. om året. </w:t>
      </w:r>
      <w:r w:rsidR="00623C3A">
        <w:rPr>
          <w:rFonts w:ascii="Verdana" w:hAnsi="Verdana"/>
        </w:rPr>
        <w:t>Da forøgelsen af overførslerne skyldes lønudviklingen, og a</w:t>
      </w:r>
      <w:r w:rsidR="009C307D">
        <w:rPr>
          <w:rFonts w:ascii="Verdana" w:hAnsi="Verdana"/>
        </w:rPr>
        <w:t>t denne er antaget at ligge 0,0065</w:t>
      </w:r>
      <w:r w:rsidR="00623C3A">
        <w:rPr>
          <w:rFonts w:ascii="Verdana" w:hAnsi="Verdana"/>
        </w:rPr>
        <w:t xml:space="preserve"> pct. over det alternative niveau i samtlige af de år, hvor de </w:t>
      </w:r>
      <w:r w:rsidR="009C307D">
        <w:rPr>
          <w:rFonts w:ascii="Verdana" w:hAnsi="Verdana"/>
        </w:rPr>
        <w:t>1</w:t>
      </w:r>
      <w:r w:rsidR="00623C3A">
        <w:rPr>
          <w:rFonts w:ascii="Verdana" w:hAnsi="Verdana"/>
        </w:rPr>
        <w:t>00 ekstra uddannede er på arbejdsmarkedet, dvs. 40 år, skal de årlige udgifter afholdes 40 gange. Det giver i alt umiddelbare ekstra omkostninger</w:t>
      </w:r>
      <w:r w:rsidR="009C307D">
        <w:rPr>
          <w:rFonts w:ascii="Verdana" w:hAnsi="Verdana"/>
        </w:rPr>
        <w:t xml:space="preserve"> til overførselsområdet på 830</w:t>
      </w:r>
      <w:r w:rsidR="00623C3A">
        <w:rPr>
          <w:rFonts w:ascii="Verdana" w:hAnsi="Verdana"/>
        </w:rPr>
        <w:t xml:space="preserve"> mio. kr. Langt de fleste offentlige overførsler er imidlertid skattebelagte, ligesom det forbrug, som transfereringerne giver anledning til er afgiftspålagte</w:t>
      </w:r>
      <w:r w:rsidR="00821FBE">
        <w:rPr>
          <w:rFonts w:ascii="Verdana" w:hAnsi="Verdana"/>
        </w:rPr>
        <w:t xml:space="preserve">. Vi anvender igen Skatteministeriets forudsætning om, </w:t>
      </w:r>
      <w:r w:rsidR="00821FBE" w:rsidRPr="003A68DF">
        <w:rPr>
          <w:rFonts w:ascii="Verdana" w:hAnsi="Verdana"/>
        </w:rPr>
        <w:t>at dansk afgiftsindhold af danskeres marginale private forbrug udgør 24,5 pct</w:t>
      </w:r>
      <w:r w:rsidR="00821FBE">
        <w:rPr>
          <w:rFonts w:ascii="Verdana" w:hAnsi="Verdana"/>
        </w:rPr>
        <w:t xml:space="preserve">. samt en gennemsnitlig marginalbeskatning på </w:t>
      </w:r>
      <w:r w:rsidR="00341F68">
        <w:rPr>
          <w:rFonts w:ascii="Verdana" w:hAnsi="Verdana"/>
        </w:rPr>
        <w:t>33,2 pct., da ’lønmodtagere på grundniveau’ vurderes at være en realistisk sammenligningsgruppe</w:t>
      </w:r>
      <w:r w:rsidR="00821FBE">
        <w:rPr>
          <w:rFonts w:ascii="Verdana" w:hAnsi="Verdana"/>
        </w:rPr>
        <w:t xml:space="preserve">. Samlet </w:t>
      </w:r>
      <w:r w:rsidR="00821FBE">
        <w:rPr>
          <w:rFonts w:ascii="Verdana" w:hAnsi="Verdana"/>
        </w:rPr>
        <w:lastRenderedPageBreak/>
        <w:t>medfører transfereringer dermed et mindre</w:t>
      </w:r>
      <w:r w:rsidR="00733988">
        <w:rPr>
          <w:rFonts w:ascii="Verdana" w:hAnsi="Verdana"/>
        </w:rPr>
        <w:t xml:space="preserve"> </w:t>
      </w:r>
      <w:r w:rsidR="00821FBE">
        <w:rPr>
          <w:rFonts w:ascii="Verdana" w:hAnsi="Verdana"/>
        </w:rPr>
        <w:t xml:space="preserve">provenu for </w:t>
      </w:r>
      <w:r w:rsidR="008E3B23">
        <w:rPr>
          <w:rFonts w:ascii="Verdana" w:hAnsi="Verdana"/>
        </w:rPr>
        <w:t>de offentlige kasser på i alt</w:t>
      </w:r>
      <w:r w:rsidR="00821FBE">
        <w:rPr>
          <w:rFonts w:ascii="Verdana" w:hAnsi="Verdana"/>
        </w:rPr>
        <w:t xml:space="preserve"> </w:t>
      </w:r>
      <w:r w:rsidR="008E3B23">
        <w:rPr>
          <w:rFonts w:ascii="Verdana" w:hAnsi="Verdana"/>
        </w:rPr>
        <w:t xml:space="preserve">419 </w:t>
      </w:r>
      <w:r w:rsidR="00821FBE">
        <w:rPr>
          <w:rFonts w:ascii="Verdana" w:hAnsi="Verdana"/>
        </w:rPr>
        <w:t xml:space="preserve">mio. kr. </w:t>
      </w:r>
    </w:p>
    <w:p w14:paraId="74CF53FE" w14:textId="77777777" w:rsidR="00DB0C31" w:rsidRDefault="00DB0C31" w:rsidP="0016000A">
      <w:pPr>
        <w:pStyle w:val="NoSpacing"/>
        <w:rPr>
          <w:rFonts w:ascii="Verdana" w:hAnsi="Verdana"/>
          <w:i/>
        </w:rPr>
      </w:pPr>
    </w:p>
    <w:p w14:paraId="0F2C173A" w14:textId="7220F120" w:rsidR="00821FBE" w:rsidRDefault="00821FBE" w:rsidP="0016000A">
      <w:pPr>
        <w:pStyle w:val="NoSpacing"/>
        <w:rPr>
          <w:rFonts w:ascii="Verdana" w:hAnsi="Verdana"/>
          <w:i/>
        </w:rPr>
      </w:pPr>
      <w:r>
        <w:rPr>
          <w:rFonts w:ascii="Verdana" w:hAnsi="Verdana"/>
          <w:i/>
        </w:rPr>
        <w:t>Samlet effekt af uddannelsesløftet</w:t>
      </w:r>
    </w:p>
    <w:p w14:paraId="460DE7FB" w14:textId="2B7E5FCF" w:rsidR="00821FBE" w:rsidRDefault="00DB0C31" w:rsidP="0016000A">
      <w:pPr>
        <w:pStyle w:val="NoSpacing"/>
        <w:rPr>
          <w:rFonts w:ascii="Verdana" w:hAnsi="Verdana"/>
        </w:rPr>
      </w:pPr>
      <w:r>
        <w:rPr>
          <w:rFonts w:ascii="Verdana" w:hAnsi="Verdana"/>
        </w:rPr>
        <w:t>På baggrund af ovenstående udregninger er det nu muligt at fremstille en samlet opgørelse over de</w:t>
      </w:r>
      <w:r w:rsidR="008A035D">
        <w:rPr>
          <w:rFonts w:ascii="Verdana" w:hAnsi="Verdana"/>
        </w:rPr>
        <w:t xml:space="preserve"> skønnede</w:t>
      </w:r>
      <w:r>
        <w:rPr>
          <w:rFonts w:ascii="Verdana" w:hAnsi="Verdana"/>
        </w:rPr>
        <w:t xml:space="preserve"> indtægter og udgifter, der er forbundet med at uddanne </w:t>
      </w:r>
      <w:r w:rsidR="00BD365C">
        <w:rPr>
          <w:rFonts w:ascii="Verdana" w:hAnsi="Verdana"/>
        </w:rPr>
        <w:t>100</w:t>
      </w:r>
      <w:r>
        <w:rPr>
          <w:rFonts w:ascii="Verdana" w:hAnsi="Verdana"/>
        </w:rPr>
        <w:t xml:space="preserve"> flere med en lang videregå</w:t>
      </w:r>
      <w:r w:rsidR="00FA1658">
        <w:rPr>
          <w:rFonts w:ascii="Verdana" w:hAnsi="Verdana"/>
        </w:rPr>
        <w:t>ende uddannelse. Som nævnt</w:t>
      </w:r>
      <w:r>
        <w:rPr>
          <w:rFonts w:ascii="Verdana" w:hAnsi="Verdana"/>
        </w:rPr>
        <w:t xml:space="preserve"> antages</w:t>
      </w:r>
      <w:r w:rsidR="00FA1658">
        <w:rPr>
          <w:rFonts w:ascii="Verdana" w:hAnsi="Verdana"/>
        </w:rPr>
        <w:t xml:space="preserve"> det</w:t>
      </w:r>
      <w:r>
        <w:rPr>
          <w:rFonts w:ascii="Verdana" w:hAnsi="Verdana"/>
        </w:rPr>
        <w:t xml:space="preserve">, at de </w:t>
      </w:r>
      <w:r w:rsidR="00BD365C">
        <w:rPr>
          <w:rFonts w:ascii="Verdana" w:hAnsi="Verdana"/>
        </w:rPr>
        <w:t>10</w:t>
      </w:r>
      <w:r>
        <w:rPr>
          <w:rFonts w:ascii="Verdana" w:hAnsi="Verdana"/>
        </w:rPr>
        <w:t>0 personer alternativt maksimalt havde opnået en gymnasial uddannelse. Det er ligeledes antaget, at udregningen meningsf</w:t>
      </w:r>
      <w:r w:rsidR="00FA1658">
        <w:rPr>
          <w:rFonts w:ascii="Verdana" w:hAnsi="Verdana"/>
        </w:rPr>
        <w:t>uldt kan laves på baggrund af de</w:t>
      </w:r>
      <w:r>
        <w:rPr>
          <w:rFonts w:ascii="Verdana" w:hAnsi="Verdana"/>
        </w:rPr>
        <w:t xml:space="preserve"> langsigtede virkninger, ligesom det er antaget, at der ingen finansieringsomkostninger er forbundet med uddannelsesløftet. Derfor skelnes nedenfor ikke </w:t>
      </w:r>
      <w:r w:rsidR="00FA1658">
        <w:rPr>
          <w:rFonts w:ascii="Verdana" w:hAnsi="Verdana"/>
        </w:rPr>
        <w:t>mellem</w:t>
      </w:r>
      <w:r>
        <w:rPr>
          <w:rFonts w:ascii="Verdana" w:hAnsi="Verdana"/>
        </w:rPr>
        <w:t xml:space="preserve"> den tidsmæssige placering af hverken indtægter eller udgifter, hvilket selvsagt medfører en begrænset </w:t>
      </w:r>
      <w:r w:rsidR="00FA1658">
        <w:rPr>
          <w:rFonts w:ascii="Verdana" w:hAnsi="Verdana"/>
        </w:rPr>
        <w:t xml:space="preserve">konkret </w:t>
      </w:r>
      <w:r>
        <w:rPr>
          <w:rFonts w:ascii="Verdana" w:hAnsi="Verdana"/>
        </w:rPr>
        <w:t xml:space="preserve">anvendelsesmulighed af beregningen. </w:t>
      </w:r>
    </w:p>
    <w:p w14:paraId="4BDDAC81" w14:textId="080A7E06" w:rsidR="00DB0C31" w:rsidRDefault="00DB0C31" w:rsidP="0016000A">
      <w:pPr>
        <w:pStyle w:val="NoSpacing"/>
        <w:rPr>
          <w:rFonts w:ascii="Verdana" w:hAnsi="Verdana"/>
        </w:rPr>
      </w:pPr>
    </w:p>
    <w:p w14:paraId="0816CBAC" w14:textId="73718860" w:rsidR="00DF3470" w:rsidRDefault="00DB0C31" w:rsidP="0016000A">
      <w:pPr>
        <w:pStyle w:val="NoSpacing"/>
        <w:rPr>
          <w:rFonts w:ascii="Verdana" w:hAnsi="Verdana"/>
        </w:rPr>
      </w:pPr>
      <w:r>
        <w:rPr>
          <w:rFonts w:ascii="Verdana" w:hAnsi="Verdana"/>
        </w:rPr>
        <w:t>Som det fremgår af Tabel 9 nedenfor er uddannelsesløftet i alt forbundet me</w:t>
      </w:r>
      <w:r w:rsidR="00B463B7">
        <w:rPr>
          <w:rFonts w:ascii="Verdana" w:hAnsi="Verdana"/>
        </w:rPr>
        <w:t>d direkte omkostninger for ca. 100 mio</w:t>
      </w:r>
      <w:r>
        <w:rPr>
          <w:rFonts w:ascii="Verdana" w:hAnsi="Verdana"/>
        </w:rPr>
        <w:t xml:space="preserve">. kr. </w:t>
      </w:r>
      <w:r w:rsidR="00DF3470">
        <w:rPr>
          <w:rFonts w:ascii="Verdana" w:hAnsi="Verdana"/>
        </w:rPr>
        <w:t xml:space="preserve">De indirekte omkostninger er dog </w:t>
      </w:r>
      <w:r w:rsidR="00B463B7">
        <w:rPr>
          <w:rFonts w:ascii="Verdana" w:hAnsi="Verdana"/>
        </w:rPr>
        <w:t>langt større, nemlig omkring 835 mio</w:t>
      </w:r>
      <w:r w:rsidR="00DF3470">
        <w:rPr>
          <w:rFonts w:ascii="Verdana" w:hAnsi="Verdana"/>
        </w:rPr>
        <w:t xml:space="preserve">. kr. Alt i alt er uddannelsesløftet forbundet med </w:t>
      </w:r>
      <w:r w:rsidR="00D746F3">
        <w:rPr>
          <w:rFonts w:ascii="Verdana" w:hAnsi="Verdana"/>
        </w:rPr>
        <w:t xml:space="preserve">en gevinst for statskassen </w:t>
      </w:r>
      <w:r w:rsidR="00DF3470">
        <w:rPr>
          <w:rFonts w:ascii="Verdana" w:hAnsi="Verdana"/>
        </w:rPr>
        <w:t xml:space="preserve">på omkring </w:t>
      </w:r>
      <w:r w:rsidR="00B463B7">
        <w:rPr>
          <w:rFonts w:ascii="Verdana" w:hAnsi="Verdana"/>
        </w:rPr>
        <w:t xml:space="preserve">12 </w:t>
      </w:r>
      <w:r w:rsidR="00DF3470">
        <w:rPr>
          <w:rFonts w:ascii="Verdana" w:hAnsi="Verdana"/>
        </w:rPr>
        <w:t>mio. kroner.</w:t>
      </w:r>
    </w:p>
    <w:p w14:paraId="04E3CE33" w14:textId="77777777" w:rsidR="00DB0C31" w:rsidRDefault="00DB0C31" w:rsidP="0016000A">
      <w:pPr>
        <w:pStyle w:val="NoSpacing"/>
        <w:rPr>
          <w:rFonts w:ascii="Verdana" w:hAnsi="Verdana"/>
        </w:rPr>
      </w:pPr>
    </w:p>
    <w:p w14:paraId="777370C3" w14:textId="69249CD8" w:rsidR="00821FBE" w:rsidRPr="00DB0C31" w:rsidRDefault="00DB0C31" w:rsidP="0016000A">
      <w:pPr>
        <w:pStyle w:val="NoSpacing"/>
        <w:rPr>
          <w:rFonts w:ascii="Verdana" w:hAnsi="Verdana"/>
          <w:i/>
        </w:rPr>
      </w:pPr>
      <w:r>
        <w:rPr>
          <w:rFonts w:ascii="Verdana" w:hAnsi="Verdana"/>
          <w:i/>
        </w:rPr>
        <w:t xml:space="preserve">Tabel 9: Samlede udgifter og indtægter </w:t>
      </w:r>
      <w:proofErr w:type="spellStart"/>
      <w:r>
        <w:rPr>
          <w:rFonts w:ascii="Verdana" w:hAnsi="Verdana"/>
          <w:i/>
        </w:rPr>
        <w:t>ifbm</w:t>
      </w:r>
      <w:proofErr w:type="spellEnd"/>
      <w:r>
        <w:rPr>
          <w:rFonts w:ascii="Verdana" w:hAnsi="Verdana"/>
          <w:i/>
        </w:rPr>
        <w:t>. uddannelsesløft</w:t>
      </w:r>
    </w:p>
    <w:tbl>
      <w:tblPr>
        <w:tblStyle w:val="Listetabel6-farverig1"/>
        <w:tblW w:w="8789" w:type="dxa"/>
        <w:tblLook w:val="04A0" w:firstRow="1" w:lastRow="0" w:firstColumn="1" w:lastColumn="0" w:noHBand="0" w:noVBand="1"/>
      </w:tblPr>
      <w:tblGrid>
        <w:gridCol w:w="2410"/>
        <w:gridCol w:w="4253"/>
        <w:gridCol w:w="2126"/>
      </w:tblGrid>
      <w:tr w:rsidR="00821FBE" w:rsidRPr="00821FBE" w14:paraId="079A0DC2" w14:textId="77777777" w:rsidTr="00DB4F2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C1B4A14" w14:textId="77777777" w:rsidR="00821FBE" w:rsidRPr="00821FBE" w:rsidRDefault="00821FBE" w:rsidP="00821FBE">
            <w:pPr>
              <w:spacing w:after="0" w:line="240" w:lineRule="auto"/>
              <w:rPr>
                <w:rFonts w:ascii="Times New Roman" w:eastAsia="Times New Roman" w:hAnsi="Times New Roman" w:cs="Times New Roman"/>
                <w:sz w:val="20"/>
                <w:szCs w:val="20"/>
                <w:lang w:eastAsia="da-DK"/>
              </w:rPr>
            </w:pPr>
          </w:p>
        </w:tc>
        <w:tc>
          <w:tcPr>
            <w:tcW w:w="4253" w:type="dxa"/>
            <w:noWrap/>
            <w:hideMark/>
          </w:tcPr>
          <w:p w14:paraId="6DF5C36B" w14:textId="77777777" w:rsidR="00821FBE" w:rsidRPr="00821FBE" w:rsidRDefault="00821FBE" w:rsidP="00821FB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da-DK"/>
              </w:rPr>
            </w:pPr>
          </w:p>
        </w:tc>
        <w:tc>
          <w:tcPr>
            <w:tcW w:w="2126" w:type="dxa"/>
            <w:noWrap/>
            <w:hideMark/>
          </w:tcPr>
          <w:p w14:paraId="0856DE47" w14:textId="77777777" w:rsidR="00821FBE" w:rsidRPr="00821FBE" w:rsidRDefault="00821FBE" w:rsidP="00821FB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821FBE">
              <w:rPr>
                <w:rFonts w:ascii="Calibri" w:eastAsia="Times New Roman" w:hAnsi="Calibri" w:cs="Calibri"/>
                <w:color w:val="000000"/>
                <w:lang w:eastAsia="da-DK"/>
              </w:rPr>
              <w:t>Mio. 2016-priser</w:t>
            </w:r>
          </w:p>
        </w:tc>
      </w:tr>
      <w:tr w:rsidR="00821FBE" w:rsidRPr="00821FBE" w14:paraId="1B81028F" w14:textId="77777777" w:rsidTr="006326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663" w:type="dxa"/>
            <w:gridSpan w:val="2"/>
            <w:noWrap/>
            <w:hideMark/>
          </w:tcPr>
          <w:p w14:paraId="3C0E754A" w14:textId="77777777" w:rsidR="00821FBE" w:rsidRPr="00DB0C31" w:rsidRDefault="00821FBE" w:rsidP="00821FBE">
            <w:pPr>
              <w:spacing w:after="0" w:line="240" w:lineRule="auto"/>
              <w:rPr>
                <w:rFonts w:ascii="Calibri" w:eastAsia="Times New Roman" w:hAnsi="Calibri" w:cs="Calibri"/>
                <w:bCs w:val="0"/>
                <w:color w:val="000000"/>
                <w:lang w:eastAsia="da-DK"/>
              </w:rPr>
            </w:pPr>
            <w:r w:rsidRPr="00DB0C31">
              <w:rPr>
                <w:rFonts w:ascii="Calibri" w:eastAsia="Times New Roman" w:hAnsi="Calibri" w:cs="Calibri"/>
                <w:bCs w:val="0"/>
                <w:color w:val="000000"/>
                <w:lang w:eastAsia="da-DK"/>
              </w:rPr>
              <w:t>Direkte omkostninger</w:t>
            </w:r>
          </w:p>
        </w:tc>
        <w:tc>
          <w:tcPr>
            <w:tcW w:w="2126" w:type="dxa"/>
            <w:noWrap/>
          </w:tcPr>
          <w:p w14:paraId="11B65900" w14:textId="70EDC187" w:rsidR="00821FBE" w:rsidRPr="00DB0C31" w:rsidRDefault="006326AB" w:rsidP="00821FB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da-DK"/>
              </w:rPr>
            </w:pPr>
            <w:r>
              <w:rPr>
                <w:rFonts w:ascii="Calibri" w:eastAsia="Times New Roman" w:hAnsi="Calibri" w:cs="Calibri"/>
                <w:b/>
                <w:bCs/>
                <w:color w:val="000000"/>
                <w:lang w:eastAsia="da-DK"/>
              </w:rPr>
              <w:t>98</w:t>
            </w:r>
          </w:p>
        </w:tc>
      </w:tr>
      <w:tr w:rsidR="00821FBE" w:rsidRPr="00821FBE" w14:paraId="2FB2DA26" w14:textId="77777777" w:rsidTr="006326AB">
        <w:trPr>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F4BEC36" w14:textId="77777777" w:rsidR="00821FBE" w:rsidRPr="00821FBE" w:rsidRDefault="00821FBE" w:rsidP="00821FBE">
            <w:pPr>
              <w:spacing w:after="0" w:line="240" w:lineRule="auto"/>
              <w:rPr>
                <w:rFonts w:ascii="Calibri" w:eastAsia="Times New Roman" w:hAnsi="Calibri" w:cs="Calibri"/>
                <w:b w:val="0"/>
                <w:bCs w:val="0"/>
                <w:color w:val="000000"/>
                <w:lang w:eastAsia="da-DK"/>
              </w:rPr>
            </w:pPr>
          </w:p>
        </w:tc>
        <w:tc>
          <w:tcPr>
            <w:tcW w:w="4253" w:type="dxa"/>
            <w:noWrap/>
            <w:hideMark/>
          </w:tcPr>
          <w:p w14:paraId="5EB1994D" w14:textId="1F2FA01E" w:rsidR="00821FBE" w:rsidRPr="00821FBE" w:rsidRDefault="00821FBE"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Heraf d</w:t>
            </w:r>
            <w:r w:rsidRPr="00821FBE">
              <w:rPr>
                <w:rFonts w:ascii="Calibri" w:eastAsia="Times New Roman" w:hAnsi="Calibri" w:cs="Calibri"/>
                <w:color w:val="000000"/>
                <w:lang w:eastAsia="da-DK"/>
              </w:rPr>
              <w:t>riftsudgifter</w:t>
            </w:r>
          </w:p>
        </w:tc>
        <w:tc>
          <w:tcPr>
            <w:tcW w:w="2126" w:type="dxa"/>
            <w:noWrap/>
          </w:tcPr>
          <w:p w14:paraId="5E52F5F6" w14:textId="6C264AC1" w:rsidR="00821FBE" w:rsidRPr="00821FBE" w:rsidRDefault="006326AB"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41</w:t>
            </w:r>
          </w:p>
        </w:tc>
      </w:tr>
      <w:tr w:rsidR="00821FBE" w:rsidRPr="00821FBE" w14:paraId="4D1CDEDD" w14:textId="77777777" w:rsidTr="006326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B67C056" w14:textId="77777777" w:rsidR="00821FBE" w:rsidRPr="00821FBE" w:rsidRDefault="00821FBE" w:rsidP="00821FBE">
            <w:pPr>
              <w:spacing w:after="0" w:line="240" w:lineRule="auto"/>
              <w:rPr>
                <w:rFonts w:ascii="Calibri" w:eastAsia="Times New Roman" w:hAnsi="Calibri" w:cs="Calibri"/>
                <w:color w:val="000000"/>
                <w:lang w:eastAsia="da-DK"/>
              </w:rPr>
            </w:pPr>
          </w:p>
        </w:tc>
        <w:tc>
          <w:tcPr>
            <w:tcW w:w="4253" w:type="dxa"/>
            <w:noWrap/>
            <w:hideMark/>
          </w:tcPr>
          <w:p w14:paraId="564AAFF5" w14:textId="4E774BDC" w:rsidR="00821FBE" w:rsidRPr="00821FBE" w:rsidRDefault="00821FBE" w:rsidP="00821FB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Heraf</w:t>
            </w:r>
            <w:r w:rsidRPr="00821FBE">
              <w:rPr>
                <w:rFonts w:ascii="Calibri" w:eastAsia="Times New Roman" w:hAnsi="Calibri" w:cs="Calibri"/>
                <w:color w:val="000000"/>
                <w:lang w:eastAsia="da-DK"/>
              </w:rPr>
              <w:t xml:space="preserve"> udgifter til øget SU</w:t>
            </w:r>
          </w:p>
        </w:tc>
        <w:tc>
          <w:tcPr>
            <w:tcW w:w="2126" w:type="dxa"/>
            <w:noWrap/>
          </w:tcPr>
          <w:p w14:paraId="0A4D28A4" w14:textId="140ED1EA" w:rsidR="00821FBE" w:rsidRPr="00821FBE" w:rsidRDefault="006326AB" w:rsidP="00821FB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20</w:t>
            </w:r>
          </w:p>
        </w:tc>
      </w:tr>
      <w:tr w:rsidR="00821FBE" w:rsidRPr="00821FBE" w14:paraId="5B797DFC" w14:textId="77777777" w:rsidTr="006326AB">
        <w:trPr>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79EA278" w14:textId="77777777" w:rsidR="00821FBE" w:rsidRPr="00821FBE" w:rsidRDefault="00821FBE" w:rsidP="00821FBE">
            <w:pPr>
              <w:spacing w:after="0" w:line="240" w:lineRule="auto"/>
              <w:rPr>
                <w:rFonts w:ascii="Calibri" w:eastAsia="Times New Roman" w:hAnsi="Calibri" w:cs="Calibri"/>
                <w:color w:val="000000"/>
                <w:lang w:eastAsia="da-DK"/>
              </w:rPr>
            </w:pPr>
          </w:p>
        </w:tc>
        <w:tc>
          <w:tcPr>
            <w:tcW w:w="4253" w:type="dxa"/>
            <w:noWrap/>
            <w:hideMark/>
          </w:tcPr>
          <w:p w14:paraId="4BCBBBCC" w14:textId="708EBD1D" w:rsidR="00821FBE" w:rsidRPr="00821FBE" w:rsidRDefault="00821FBE"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xml:space="preserve">Heraf </w:t>
            </w:r>
            <w:r w:rsidRPr="00821FBE">
              <w:rPr>
                <w:rFonts w:ascii="Calibri" w:eastAsia="Times New Roman" w:hAnsi="Calibri" w:cs="Calibri"/>
                <w:color w:val="000000"/>
                <w:lang w:eastAsia="da-DK"/>
              </w:rPr>
              <w:t>tabte skatteindtægter</w:t>
            </w:r>
          </w:p>
        </w:tc>
        <w:tc>
          <w:tcPr>
            <w:tcW w:w="2126" w:type="dxa"/>
            <w:noWrap/>
          </w:tcPr>
          <w:p w14:paraId="61F051A8" w14:textId="1797C4F8" w:rsidR="00821FBE" w:rsidRPr="00821FBE" w:rsidRDefault="006326AB"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37</w:t>
            </w:r>
          </w:p>
        </w:tc>
      </w:tr>
      <w:tr w:rsidR="00821FBE" w:rsidRPr="00821FBE" w14:paraId="341E0255" w14:textId="77777777" w:rsidTr="00DB4F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663" w:type="dxa"/>
            <w:gridSpan w:val="2"/>
            <w:noWrap/>
            <w:hideMark/>
          </w:tcPr>
          <w:p w14:paraId="5EE31239" w14:textId="77777777" w:rsidR="00821FBE" w:rsidRPr="00DB0C31" w:rsidRDefault="00821FBE" w:rsidP="00821FBE">
            <w:pPr>
              <w:spacing w:after="0" w:line="240" w:lineRule="auto"/>
              <w:rPr>
                <w:rFonts w:ascii="Calibri" w:eastAsia="Times New Roman" w:hAnsi="Calibri" w:cs="Calibri"/>
                <w:bCs w:val="0"/>
                <w:color w:val="000000"/>
                <w:lang w:eastAsia="da-DK"/>
              </w:rPr>
            </w:pPr>
            <w:r w:rsidRPr="00DB0C31">
              <w:rPr>
                <w:rFonts w:ascii="Calibri" w:eastAsia="Times New Roman" w:hAnsi="Calibri" w:cs="Calibri"/>
                <w:bCs w:val="0"/>
                <w:color w:val="000000"/>
                <w:lang w:eastAsia="da-DK"/>
              </w:rPr>
              <w:t>Indirekte omkostninger</w:t>
            </w:r>
          </w:p>
        </w:tc>
        <w:tc>
          <w:tcPr>
            <w:tcW w:w="2126" w:type="dxa"/>
            <w:noWrap/>
            <w:hideMark/>
          </w:tcPr>
          <w:p w14:paraId="483F0134" w14:textId="418207BE" w:rsidR="00821FBE" w:rsidRPr="00DB0C31" w:rsidRDefault="006326AB" w:rsidP="00821FB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da-DK"/>
              </w:rPr>
            </w:pPr>
            <w:r>
              <w:rPr>
                <w:rFonts w:ascii="Calibri" w:eastAsia="Times New Roman" w:hAnsi="Calibri" w:cs="Calibri"/>
                <w:b/>
                <w:bCs/>
                <w:color w:val="000000"/>
                <w:lang w:eastAsia="da-DK"/>
              </w:rPr>
              <w:t>835</w:t>
            </w:r>
            <w:r w:rsidR="00821FBE" w:rsidRPr="00DB0C31">
              <w:rPr>
                <w:rFonts w:ascii="Calibri" w:eastAsia="Times New Roman" w:hAnsi="Calibri" w:cs="Calibri"/>
                <w:b/>
                <w:bCs/>
                <w:color w:val="000000"/>
                <w:lang w:eastAsia="da-DK"/>
              </w:rPr>
              <w:t xml:space="preserve"> </w:t>
            </w:r>
          </w:p>
        </w:tc>
      </w:tr>
      <w:tr w:rsidR="00821FBE" w:rsidRPr="00821FBE" w14:paraId="116F9031" w14:textId="77777777" w:rsidTr="00DB4F2C">
        <w:trPr>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E4C3391" w14:textId="77777777" w:rsidR="00821FBE" w:rsidRPr="00821FBE" w:rsidRDefault="00821FBE" w:rsidP="00821FBE">
            <w:pPr>
              <w:spacing w:after="0" w:line="240" w:lineRule="auto"/>
              <w:rPr>
                <w:rFonts w:ascii="Calibri" w:eastAsia="Times New Roman" w:hAnsi="Calibri" w:cs="Calibri"/>
                <w:b w:val="0"/>
                <w:bCs w:val="0"/>
                <w:color w:val="000000"/>
                <w:lang w:eastAsia="da-DK"/>
              </w:rPr>
            </w:pPr>
          </w:p>
        </w:tc>
        <w:tc>
          <w:tcPr>
            <w:tcW w:w="4253" w:type="dxa"/>
            <w:noWrap/>
            <w:hideMark/>
          </w:tcPr>
          <w:p w14:paraId="4C6346D3" w14:textId="5AFDF959" w:rsidR="00821FBE" w:rsidRPr="00821FBE" w:rsidRDefault="00821FBE"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Heraf ø</w:t>
            </w:r>
            <w:r w:rsidRPr="00821FBE">
              <w:rPr>
                <w:rFonts w:ascii="Calibri" w:eastAsia="Times New Roman" w:hAnsi="Calibri" w:cs="Calibri"/>
                <w:color w:val="000000"/>
                <w:lang w:eastAsia="da-DK"/>
              </w:rPr>
              <w:t>gede lønudgifter til offentligt ansatte</w:t>
            </w:r>
          </w:p>
        </w:tc>
        <w:tc>
          <w:tcPr>
            <w:tcW w:w="2126" w:type="dxa"/>
            <w:noWrap/>
            <w:hideMark/>
          </w:tcPr>
          <w:p w14:paraId="17A0DDF4" w14:textId="67819092" w:rsidR="00821FBE" w:rsidRPr="00821FBE" w:rsidRDefault="00B463B7"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771</w:t>
            </w:r>
            <w:r w:rsidR="00821FBE" w:rsidRPr="00821FBE">
              <w:rPr>
                <w:rFonts w:ascii="Calibri" w:eastAsia="Times New Roman" w:hAnsi="Calibri" w:cs="Calibri"/>
                <w:color w:val="000000"/>
                <w:lang w:eastAsia="da-DK"/>
              </w:rPr>
              <w:t xml:space="preserve"> </w:t>
            </w:r>
          </w:p>
        </w:tc>
      </w:tr>
      <w:tr w:rsidR="00821FBE" w:rsidRPr="00821FBE" w14:paraId="50B5D40F" w14:textId="77777777" w:rsidTr="00DB4F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FFB6444" w14:textId="77777777" w:rsidR="00821FBE" w:rsidRPr="00821FBE" w:rsidRDefault="00821FBE" w:rsidP="00821FBE">
            <w:pPr>
              <w:spacing w:after="0" w:line="240" w:lineRule="auto"/>
              <w:rPr>
                <w:rFonts w:ascii="Calibri" w:eastAsia="Times New Roman" w:hAnsi="Calibri" w:cs="Calibri"/>
                <w:color w:val="000000"/>
                <w:lang w:eastAsia="da-DK"/>
              </w:rPr>
            </w:pPr>
          </w:p>
        </w:tc>
        <w:tc>
          <w:tcPr>
            <w:tcW w:w="4253" w:type="dxa"/>
            <w:noWrap/>
            <w:hideMark/>
          </w:tcPr>
          <w:p w14:paraId="6A4274F2" w14:textId="3668CADA" w:rsidR="00821FBE" w:rsidRPr="00821FBE" w:rsidRDefault="00821FBE" w:rsidP="00821FB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da-DK"/>
              </w:rPr>
            </w:pPr>
            <w:r>
              <w:rPr>
                <w:rFonts w:ascii="Calibri" w:eastAsia="Times New Roman" w:hAnsi="Calibri" w:cs="Calibri"/>
                <w:color w:val="000000"/>
                <w:lang w:eastAsia="da-DK"/>
              </w:rPr>
              <w:t>Heraf</w:t>
            </w:r>
            <w:r w:rsidRPr="00821FBE">
              <w:rPr>
                <w:rFonts w:ascii="Calibri" w:eastAsia="Times New Roman" w:hAnsi="Calibri" w:cs="Calibri"/>
                <w:i/>
                <w:iCs/>
                <w:color w:val="000000"/>
                <w:lang w:eastAsia="da-DK"/>
              </w:rPr>
              <w:t xml:space="preserve"> </w:t>
            </w:r>
            <w:r>
              <w:rPr>
                <w:rFonts w:ascii="Calibri" w:eastAsia="Times New Roman" w:hAnsi="Calibri" w:cs="Calibri"/>
                <w:i/>
                <w:iCs/>
                <w:color w:val="000000"/>
                <w:lang w:eastAsia="da-DK"/>
              </w:rPr>
              <w:t>s</w:t>
            </w:r>
            <w:r w:rsidRPr="00821FBE">
              <w:rPr>
                <w:rFonts w:ascii="Calibri" w:eastAsia="Times New Roman" w:hAnsi="Calibri" w:cs="Calibri"/>
                <w:i/>
                <w:iCs/>
                <w:color w:val="000000"/>
                <w:lang w:eastAsia="da-DK"/>
              </w:rPr>
              <w:t>tørre udgifter til indkomstoverførsler</w:t>
            </w:r>
          </w:p>
        </w:tc>
        <w:tc>
          <w:tcPr>
            <w:tcW w:w="2126" w:type="dxa"/>
            <w:noWrap/>
            <w:hideMark/>
          </w:tcPr>
          <w:p w14:paraId="128D45A7" w14:textId="482D5CE0" w:rsidR="00821FBE" w:rsidRPr="00821FBE" w:rsidRDefault="006326AB" w:rsidP="006326A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419</w:t>
            </w:r>
            <w:r w:rsidR="00821FBE" w:rsidRPr="00821FBE">
              <w:rPr>
                <w:rFonts w:ascii="Calibri" w:eastAsia="Times New Roman" w:hAnsi="Calibri" w:cs="Calibri"/>
                <w:color w:val="000000"/>
                <w:lang w:eastAsia="da-DK"/>
              </w:rPr>
              <w:t xml:space="preserve"> </w:t>
            </w:r>
          </w:p>
        </w:tc>
      </w:tr>
      <w:tr w:rsidR="00821FBE" w:rsidRPr="00821FBE" w14:paraId="2D5F27E4" w14:textId="77777777" w:rsidTr="00DB4F2C">
        <w:trPr>
          <w:trHeight w:val="302"/>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A952CB9" w14:textId="063B1342" w:rsidR="00821FBE" w:rsidRPr="00DB0C31" w:rsidRDefault="00DB0C31" w:rsidP="00821FBE">
            <w:pPr>
              <w:spacing w:after="0" w:line="240" w:lineRule="auto"/>
              <w:rPr>
                <w:rFonts w:ascii="Calibri" w:eastAsia="Times New Roman" w:hAnsi="Calibri" w:cs="Calibri"/>
                <w:bCs w:val="0"/>
                <w:color w:val="000000"/>
                <w:lang w:eastAsia="da-DK"/>
              </w:rPr>
            </w:pPr>
            <w:r w:rsidRPr="00DB0C31">
              <w:rPr>
                <w:rFonts w:ascii="Calibri" w:eastAsia="Times New Roman" w:hAnsi="Calibri" w:cs="Calibri"/>
                <w:bCs w:val="0"/>
                <w:color w:val="000000"/>
                <w:lang w:eastAsia="da-DK"/>
              </w:rPr>
              <w:t>Øgede skatteindtægter</w:t>
            </w:r>
          </w:p>
        </w:tc>
        <w:tc>
          <w:tcPr>
            <w:tcW w:w="4253" w:type="dxa"/>
            <w:noWrap/>
            <w:hideMark/>
          </w:tcPr>
          <w:p w14:paraId="77E196E9" w14:textId="501A11C4" w:rsidR="00821FBE" w:rsidRPr="00DB0C31" w:rsidRDefault="00821FBE" w:rsidP="00DB0C31">
            <w:pPr>
              <w:spacing w:after="0" w:line="240" w:lineRule="auto"/>
              <w:ind w:left="-92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da-DK"/>
              </w:rPr>
            </w:pPr>
          </w:p>
        </w:tc>
        <w:tc>
          <w:tcPr>
            <w:tcW w:w="2126" w:type="dxa"/>
            <w:noWrap/>
            <w:hideMark/>
          </w:tcPr>
          <w:p w14:paraId="24676374" w14:textId="28221D60" w:rsidR="00821FBE" w:rsidRPr="00DB0C31" w:rsidRDefault="006326AB" w:rsidP="00821FB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da-DK"/>
              </w:rPr>
            </w:pPr>
            <w:r>
              <w:rPr>
                <w:rFonts w:ascii="Calibri" w:eastAsia="Times New Roman" w:hAnsi="Calibri" w:cs="Calibri"/>
                <w:b/>
                <w:bCs/>
                <w:color w:val="000000"/>
                <w:lang w:eastAsia="da-DK"/>
              </w:rPr>
              <w:t>1.300</w:t>
            </w:r>
          </w:p>
        </w:tc>
      </w:tr>
      <w:tr w:rsidR="00821FBE" w:rsidRPr="00821FBE" w14:paraId="799FF47D" w14:textId="77777777" w:rsidTr="00DB4F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663" w:type="dxa"/>
            <w:gridSpan w:val="2"/>
            <w:noWrap/>
            <w:hideMark/>
          </w:tcPr>
          <w:p w14:paraId="368A2BFF" w14:textId="77777777" w:rsidR="00821FBE" w:rsidRPr="00DB0C31" w:rsidRDefault="00821FBE" w:rsidP="00821FBE">
            <w:pPr>
              <w:spacing w:after="0" w:line="240" w:lineRule="auto"/>
              <w:rPr>
                <w:rFonts w:ascii="Calibri" w:eastAsia="Times New Roman" w:hAnsi="Calibri" w:cs="Calibri"/>
                <w:bCs w:val="0"/>
                <w:color w:val="000000"/>
                <w:lang w:eastAsia="da-DK"/>
              </w:rPr>
            </w:pPr>
            <w:r w:rsidRPr="00DB0C31">
              <w:rPr>
                <w:rFonts w:ascii="Calibri" w:eastAsia="Times New Roman" w:hAnsi="Calibri" w:cs="Calibri"/>
                <w:bCs w:val="0"/>
                <w:color w:val="000000"/>
                <w:lang w:eastAsia="da-DK"/>
              </w:rPr>
              <w:t>Resultat af uddannelsesløft</w:t>
            </w:r>
          </w:p>
        </w:tc>
        <w:tc>
          <w:tcPr>
            <w:tcW w:w="2126" w:type="dxa"/>
            <w:noWrap/>
            <w:hideMark/>
          </w:tcPr>
          <w:p w14:paraId="6DC6AB21" w14:textId="46198DB7" w:rsidR="00821FBE" w:rsidRPr="00DB0C31" w:rsidRDefault="00B463B7" w:rsidP="00821FB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da-DK"/>
              </w:rPr>
            </w:pPr>
            <w:r>
              <w:rPr>
                <w:rFonts w:ascii="Calibri" w:eastAsia="Times New Roman" w:hAnsi="Calibri" w:cs="Calibri"/>
                <w:b/>
                <w:bCs/>
                <w:color w:val="000000"/>
                <w:lang w:eastAsia="da-DK"/>
              </w:rPr>
              <w:t>12</w:t>
            </w:r>
          </w:p>
        </w:tc>
      </w:tr>
    </w:tbl>
    <w:p w14:paraId="7B37F0A5" w14:textId="314B80A1" w:rsidR="00821FBE" w:rsidRDefault="00821FBE" w:rsidP="0016000A">
      <w:pPr>
        <w:pStyle w:val="NoSpacing"/>
        <w:rPr>
          <w:rFonts w:ascii="Verdana" w:hAnsi="Verdana"/>
        </w:rPr>
      </w:pPr>
    </w:p>
    <w:p w14:paraId="38926247" w14:textId="5A9009EE" w:rsidR="006F52A6" w:rsidRDefault="006F52A6" w:rsidP="0016000A">
      <w:pPr>
        <w:pStyle w:val="NoSpacing"/>
        <w:rPr>
          <w:rFonts w:ascii="Verdana" w:hAnsi="Verdana"/>
        </w:rPr>
      </w:pPr>
      <w:r>
        <w:rPr>
          <w:rFonts w:ascii="Verdana" w:hAnsi="Verdana"/>
        </w:rPr>
        <w:t>Som nævnt er det ikke taget højde for den finansieringsudfordring, som et sådan uddannelsesløft ville medføre. Særligt vil finansieringsudgiften være udtalt, hvis der gennemføres et permanent uddannelsesløft, hvor de direkte udgifter vil skulle afholdes år for år, mens indtægterne først ville begynde at materialisere sig i år 7.</w:t>
      </w:r>
    </w:p>
    <w:p w14:paraId="544EBC9E" w14:textId="2F9AB790" w:rsidR="006F52A6" w:rsidRDefault="006F52A6" w:rsidP="0016000A">
      <w:pPr>
        <w:pStyle w:val="NoSpacing"/>
        <w:rPr>
          <w:rFonts w:ascii="Verdana" w:hAnsi="Verdana"/>
        </w:rPr>
      </w:pPr>
    </w:p>
    <w:p w14:paraId="5D80CDBA" w14:textId="39588A22" w:rsidR="006F52A6" w:rsidRDefault="006F52A6" w:rsidP="0016000A">
      <w:pPr>
        <w:pStyle w:val="NoSpacing"/>
        <w:rPr>
          <w:rFonts w:ascii="Verdana" w:hAnsi="Verdana"/>
        </w:rPr>
      </w:pPr>
      <w:r>
        <w:rPr>
          <w:rFonts w:ascii="Verdana" w:hAnsi="Verdana"/>
        </w:rPr>
        <w:t>Finansieringsudfordringen er søgt illustreret i Figur 2 herunder. Som det fremgår</w:t>
      </w:r>
      <w:r w:rsidR="00733988">
        <w:rPr>
          <w:rFonts w:ascii="Verdana" w:hAnsi="Verdana"/>
        </w:rPr>
        <w:t>,</w:t>
      </w:r>
      <w:r>
        <w:rPr>
          <w:rFonts w:ascii="Verdana" w:hAnsi="Verdana"/>
        </w:rPr>
        <w:t xml:space="preserve"> vil uddannelsesløftet være forbundet med</w:t>
      </w:r>
      <w:r w:rsidR="00FD464A">
        <w:rPr>
          <w:rFonts w:ascii="Verdana" w:hAnsi="Verdana"/>
        </w:rPr>
        <w:t xml:space="preserve"> </w:t>
      </w:r>
      <w:r>
        <w:rPr>
          <w:rFonts w:ascii="Verdana" w:hAnsi="Verdana"/>
        </w:rPr>
        <w:t xml:space="preserve">store saldo-underskud i de første </w:t>
      </w:r>
      <w:r w:rsidR="00DB4F2C">
        <w:rPr>
          <w:rFonts w:ascii="Verdana" w:hAnsi="Verdana"/>
        </w:rPr>
        <w:t>år, som vil skulle finansieres.</w:t>
      </w:r>
    </w:p>
    <w:p w14:paraId="479ABE27" w14:textId="633B071C" w:rsidR="006F52A6" w:rsidRDefault="006F52A6" w:rsidP="0016000A">
      <w:pPr>
        <w:pStyle w:val="NoSpacing"/>
        <w:rPr>
          <w:rFonts w:ascii="Verdana" w:hAnsi="Verdana"/>
        </w:rPr>
      </w:pPr>
    </w:p>
    <w:p w14:paraId="1D9E75EC" w14:textId="77777777" w:rsidR="00631FD2" w:rsidRDefault="00631FD2">
      <w:pPr>
        <w:spacing w:after="0" w:line="240" w:lineRule="auto"/>
        <w:rPr>
          <w:rFonts w:ascii="Verdana" w:hAnsi="Verdana"/>
          <w:i/>
        </w:rPr>
      </w:pPr>
      <w:r>
        <w:rPr>
          <w:rFonts w:ascii="Verdana" w:hAnsi="Verdana"/>
          <w:i/>
        </w:rPr>
        <w:br w:type="page"/>
      </w:r>
    </w:p>
    <w:p w14:paraId="1BFF0DF1" w14:textId="257892A4" w:rsidR="006F52A6" w:rsidRPr="006F52A6" w:rsidRDefault="006F52A6" w:rsidP="0016000A">
      <w:pPr>
        <w:pStyle w:val="NoSpacing"/>
        <w:rPr>
          <w:rFonts w:ascii="Verdana" w:hAnsi="Verdana"/>
          <w:i/>
        </w:rPr>
      </w:pPr>
      <w:r>
        <w:rPr>
          <w:rFonts w:ascii="Verdana" w:hAnsi="Verdana"/>
          <w:i/>
        </w:rPr>
        <w:lastRenderedPageBreak/>
        <w:t>Figur 2: Illustration af finansieringsudfordringen</w:t>
      </w:r>
    </w:p>
    <w:p w14:paraId="523BB5BF" w14:textId="4209D287" w:rsidR="006F52A6" w:rsidRDefault="00B463B7" w:rsidP="0016000A">
      <w:pPr>
        <w:pStyle w:val="NoSpacing"/>
        <w:rPr>
          <w:rFonts w:ascii="Verdana" w:hAnsi="Verdana"/>
        </w:rPr>
      </w:pPr>
      <w:r>
        <w:rPr>
          <w:noProof/>
          <w:lang w:val="en-US"/>
        </w:rPr>
        <w:drawing>
          <wp:inline distT="0" distB="0" distL="0" distR="0" wp14:anchorId="0DDE6567" wp14:editId="5F6CD809">
            <wp:extent cx="5524500" cy="253365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8EA5C3" w14:textId="402C1049" w:rsidR="00BB7E42" w:rsidRPr="006A0FEA" w:rsidRDefault="00BB7E42" w:rsidP="0016000A">
      <w:pPr>
        <w:pStyle w:val="NoSpacing"/>
        <w:rPr>
          <w:rFonts w:ascii="Verdana" w:hAnsi="Verdana"/>
          <w:i/>
          <w:sz w:val="20"/>
        </w:rPr>
      </w:pPr>
      <w:proofErr w:type="spellStart"/>
      <w:r w:rsidRPr="006A0FEA">
        <w:rPr>
          <w:rFonts w:ascii="Verdana" w:hAnsi="Verdana"/>
          <w:i/>
          <w:sz w:val="20"/>
        </w:rPr>
        <w:t>Anm</w:t>
      </w:r>
      <w:proofErr w:type="spellEnd"/>
      <w:r w:rsidRPr="006A0FEA">
        <w:rPr>
          <w:rFonts w:ascii="Verdana" w:hAnsi="Verdana"/>
          <w:i/>
          <w:sz w:val="20"/>
        </w:rPr>
        <w:t>: Figuren viser hhv. den årlige saldoeffekt og den akkumulerede saldoeffekt af at gennemføres det beskrevne uddannelsesløft.</w:t>
      </w:r>
    </w:p>
    <w:p w14:paraId="7579A12D" w14:textId="3BA4A144" w:rsidR="00BB7E42" w:rsidRPr="00BB7E42" w:rsidRDefault="00BB7E42" w:rsidP="0016000A">
      <w:pPr>
        <w:pStyle w:val="NoSpacing"/>
        <w:rPr>
          <w:rFonts w:ascii="Verdana" w:hAnsi="Verdana"/>
          <w:i/>
        </w:rPr>
      </w:pPr>
      <w:r w:rsidRPr="006A0FEA">
        <w:rPr>
          <w:rFonts w:ascii="Verdana" w:hAnsi="Verdana"/>
          <w:i/>
          <w:sz w:val="20"/>
        </w:rPr>
        <w:t>Kilde: De beskrevne kilder i notatet</w:t>
      </w:r>
      <w:r w:rsidR="006A0FEA" w:rsidRPr="006A0FEA">
        <w:rPr>
          <w:rFonts w:ascii="Verdana" w:hAnsi="Verdana"/>
          <w:i/>
          <w:sz w:val="20"/>
        </w:rPr>
        <w:t xml:space="preserve"> samt egne beregninger</w:t>
      </w:r>
      <w:r w:rsidR="006A0FEA">
        <w:rPr>
          <w:rFonts w:ascii="Verdana" w:hAnsi="Verdana"/>
          <w:i/>
        </w:rPr>
        <w:t>.</w:t>
      </w:r>
    </w:p>
    <w:p w14:paraId="6CC44E61" w14:textId="77777777" w:rsidR="0066513A" w:rsidRDefault="0066513A">
      <w:pPr>
        <w:spacing w:after="0" w:line="240" w:lineRule="auto"/>
        <w:rPr>
          <w:rFonts w:ascii="Verdana" w:hAnsi="Verdana"/>
          <w:b/>
          <w:bCs/>
        </w:rPr>
      </w:pPr>
    </w:p>
    <w:p w14:paraId="3482C849" w14:textId="397C9C61" w:rsidR="004C6F0D" w:rsidRDefault="0066513A">
      <w:pPr>
        <w:spacing w:after="0" w:line="240" w:lineRule="auto"/>
        <w:rPr>
          <w:rFonts w:ascii="Verdana" w:hAnsi="Verdana"/>
          <w:bCs/>
        </w:rPr>
      </w:pPr>
      <w:r>
        <w:rPr>
          <w:rFonts w:ascii="Verdana" w:hAnsi="Verdana"/>
          <w:bCs/>
        </w:rPr>
        <w:t>Finansministeriet arbejder for tiden med en samfundsøkonomisk diskonteringsrente på 4 pct. de første 35 år og 3 pct. mellem 35 år og 70 år. Lægges disse disko</w:t>
      </w:r>
      <w:r w:rsidR="00D746F3">
        <w:rPr>
          <w:rFonts w:ascii="Verdana" w:hAnsi="Verdana"/>
          <w:bCs/>
        </w:rPr>
        <w:t xml:space="preserve">nteringsrenter til grund for en samlet udregning – hvor både fremtidige indtægter </w:t>
      </w:r>
      <w:r w:rsidR="007E2E40">
        <w:rPr>
          <w:rFonts w:ascii="Verdana" w:hAnsi="Verdana"/>
          <w:bCs/>
        </w:rPr>
        <w:t>og</w:t>
      </w:r>
      <w:r w:rsidR="00D746F3">
        <w:rPr>
          <w:rFonts w:ascii="Verdana" w:hAnsi="Verdana"/>
          <w:bCs/>
        </w:rPr>
        <w:t xml:space="preserve"> udgifter altså tilbagediskonteres til en nutidsværdi </w:t>
      </w:r>
      <w:r w:rsidR="009F5713">
        <w:rPr>
          <w:rFonts w:ascii="Verdana" w:hAnsi="Verdana"/>
          <w:bCs/>
        </w:rPr>
        <w:t>er uddannelsesløftet forbundet med en samlet omkostning på i alt 44 mio. kr. Sammenholdes dette med de direkte om</w:t>
      </w:r>
      <w:r w:rsidR="004F2815">
        <w:rPr>
          <w:rFonts w:ascii="Verdana" w:hAnsi="Verdana"/>
          <w:bCs/>
        </w:rPr>
        <w:t>k</w:t>
      </w:r>
      <w:r w:rsidR="009F5713">
        <w:rPr>
          <w:rFonts w:ascii="Verdana" w:hAnsi="Verdana"/>
          <w:bCs/>
        </w:rPr>
        <w:t>ostninger</w:t>
      </w:r>
      <w:r w:rsidR="004F2815">
        <w:rPr>
          <w:rFonts w:ascii="Verdana" w:hAnsi="Verdana"/>
          <w:bCs/>
        </w:rPr>
        <w:t xml:space="preserve"> på 89 mio. kr. i nutidsværdi får vi, at </w:t>
      </w:r>
      <w:r w:rsidR="004F2815" w:rsidRPr="00FA1658">
        <w:rPr>
          <w:rFonts w:ascii="Verdana" w:hAnsi="Verdana"/>
          <w:b/>
          <w:bCs/>
        </w:rPr>
        <w:t>det samlede</w:t>
      </w:r>
      <w:r w:rsidR="00FA1658" w:rsidRPr="00FA1658">
        <w:rPr>
          <w:rFonts w:ascii="Verdana" w:hAnsi="Verdana"/>
          <w:b/>
          <w:bCs/>
        </w:rPr>
        <w:t xml:space="preserve"> resultat er</w:t>
      </w:r>
      <w:r w:rsidR="00FA1658">
        <w:rPr>
          <w:rFonts w:ascii="Verdana" w:hAnsi="Verdana"/>
          <w:bCs/>
        </w:rPr>
        <w:t>, at</w:t>
      </w:r>
      <w:r w:rsidR="004F2815">
        <w:rPr>
          <w:rFonts w:ascii="Verdana" w:hAnsi="Verdana"/>
          <w:bCs/>
        </w:rPr>
        <w:t xml:space="preserve"> uddannelsesløft har en selvfinansieringsgrad på 51 pct., forstået på den måde, at der 51 pct. af den samlede investering kan tilvejebringes via dynamiske effekter. Til sammenligning er </w:t>
      </w:r>
      <w:r w:rsidR="00D40420">
        <w:rPr>
          <w:rFonts w:ascii="Verdana" w:hAnsi="Verdana"/>
          <w:bCs/>
        </w:rPr>
        <w:t xml:space="preserve">selvfinansieringsgraden ved en forhøjelse af topskattegrænsen 31 pct. </w:t>
      </w:r>
    </w:p>
    <w:p w14:paraId="000B23E5" w14:textId="77777777" w:rsidR="0096339B" w:rsidRDefault="0096339B">
      <w:pPr>
        <w:spacing w:after="0" w:line="240" w:lineRule="auto"/>
        <w:rPr>
          <w:rFonts w:ascii="Verdana" w:hAnsi="Verdana"/>
          <w:bCs/>
        </w:rPr>
      </w:pPr>
    </w:p>
    <w:p w14:paraId="466CBAC5" w14:textId="5FC52AF0" w:rsidR="0096339B" w:rsidRDefault="0096339B">
      <w:pPr>
        <w:spacing w:after="0" w:line="240" w:lineRule="auto"/>
        <w:rPr>
          <w:rFonts w:ascii="Verdana" w:hAnsi="Verdana"/>
          <w:bCs/>
        </w:rPr>
      </w:pPr>
      <w:r>
        <w:rPr>
          <w:rFonts w:ascii="Verdana" w:hAnsi="Verdana"/>
          <w:bCs/>
        </w:rPr>
        <w:t xml:space="preserve">At selvfinansieringsgraden er på 51 procent betyder således, at når man bruger én krone </w:t>
      </w:r>
      <w:r w:rsidR="00C05C51">
        <w:rPr>
          <w:rFonts w:ascii="Verdana" w:hAnsi="Verdana"/>
          <w:bCs/>
        </w:rPr>
        <w:t xml:space="preserve">på at </w:t>
      </w:r>
      <w:r>
        <w:rPr>
          <w:rFonts w:ascii="Verdana" w:hAnsi="Verdana"/>
          <w:bCs/>
        </w:rPr>
        <w:t>løfte personer fra en gymnasial til en universitetsuddannelse, så vil 51 ører løbe tilbage i statskassen og den reelle pris er derfor kun 49 ører. På samme måde</w:t>
      </w:r>
      <w:r w:rsidR="00C05C51">
        <w:rPr>
          <w:rFonts w:ascii="Verdana" w:hAnsi="Verdana"/>
          <w:bCs/>
        </w:rPr>
        <w:t>,</w:t>
      </w:r>
      <w:r>
        <w:rPr>
          <w:rFonts w:ascii="Verdana" w:hAnsi="Verdana"/>
          <w:bCs/>
        </w:rPr>
        <w:t xml:space="preserve"> hvis man som led i besparelser bruger færre penge på videregående uddannelser og som resultat løfter færre mennesker fra en gymnasial til universitetsuddannelse, så vil man ved at skære én krone reelt kun spare 49 ører. </w:t>
      </w:r>
    </w:p>
    <w:p w14:paraId="11D9181F" w14:textId="77777777" w:rsidR="00782F4B" w:rsidRDefault="00782F4B">
      <w:pPr>
        <w:spacing w:after="0" w:line="240" w:lineRule="auto"/>
        <w:rPr>
          <w:rFonts w:ascii="Verdana" w:hAnsi="Verdana"/>
          <w:bCs/>
        </w:rPr>
      </w:pPr>
    </w:p>
    <w:p w14:paraId="507F1A41" w14:textId="14B81EE9" w:rsidR="00782F4B" w:rsidRDefault="00782F4B">
      <w:pPr>
        <w:spacing w:after="0" w:line="240" w:lineRule="auto"/>
        <w:rPr>
          <w:rFonts w:ascii="Verdana" w:hAnsi="Verdana"/>
          <w:bCs/>
        </w:rPr>
      </w:pPr>
      <w:r>
        <w:rPr>
          <w:rFonts w:ascii="Verdana" w:hAnsi="Verdana"/>
          <w:bCs/>
        </w:rPr>
        <w:t xml:space="preserve">Det skal i forbindelse med denne konklusion understreges, at </w:t>
      </w:r>
      <w:proofErr w:type="spellStart"/>
      <w:r>
        <w:rPr>
          <w:rFonts w:ascii="Verdana" w:hAnsi="Verdana"/>
          <w:bCs/>
        </w:rPr>
        <w:t>selvfinanseringsgraden</w:t>
      </w:r>
      <w:proofErr w:type="spellEnd"/>
      <w:r>
        <w:rPr>
          <w:rFonts w:ascii="Verdana" w:hAnsi="Verdana"/>
          <w:bCs/>
        </w:rPr>
        <w:t xml:space="preserve"> i ovenstående alene kommer af produktivitetseffekter</w:t>
      </w:r>
      <w:r w:rsidR="00733988">
        <w:rPr>
          <w:rFonts w:ascii="Verdana" w:hAnsi="Verdana"/>
          <w:bCs/>
        </w:rPr>
        <w:t>,</w:t>
      </w:r>
      <w:r>
        <w:rPr>
          <w:rFonts w:ascii="Verdana" w:hAnsi="Verdana"/>
          <w:bCs/>
        </w:rPr>
        <w:t xml:space="preserve"> mens arbejdsudbudseffekter ikke er indregnet. Dette gør, at resultatet bliver meget konservativt, da effekterne af øget erhvervsfrekvens og de ekstra skatteindtægter der heraf følger vil have yderligere positive effekter på den offentlige saldo.</w:t>
      </w:r>
    </w:p>
    <w:p w14:paraId="55A9602E" w14:textId="77777777" w:rsidR="00D40420" w:rsidRDefault="00D40420">
      <w:pPr>
        <w:spacing w:after="0" w:line="240" w:lineRule="auto"/>
        <w:rPr>
          <w:rFonts w:ascii="Verdana" w:hAnsi="Verdana"/>
          <w:bCs/>
        </w:rPr>
      </w:pPr>
    </w:p>
    <w:p w14:paraId="5DDB9B1A" w14:textId="7F1B6E4A" w:rsidR="00D40420" w:rsidRDefault="00D40420">
      <w:pPr>
        <w:spacing w:after="0" w:line="240" w:lineRule="auto"/>
        <w:rPr>
          <w:rFonts w:ascii="Verdana" w:hAnsi="Verdana"/>
          <w:bCs/>
        </w:rPr>
      </w:pPr>
      <w:r>
        <w:rPr>
          <w:rFonts w:ascii="Verdana" w:hAnsi="Verdana"/>
          <w:bCs/>
        </w:rPr>
        <w:t xml:space="preserve">Figuren nedenfor illustrerer uddannelsesforløbet, når de fremtidige indtægter og udgifter tilbagediskonteres jf. Finansministeriets retningslinjer. </w:t>
      </w:r>
    </w:p>
    <w:p w14:paraId="7823C6D8" w14:textId="77777777" w:rsidR="004C6F0D" w:rsidRDefault="004C6F0D">
      <w:pPr>
        <w:spacing w:after="0" w:line="240" w:lineRule="auto"/>
        <w:rPr>
          <w:rFonts w:ascii="Verdana" w:hAnsi="Verdana"/>
          <w:bCs/>
        </w:rPr>
      </w:pPr>
    </w:p>
    <w:p w14:paraId="7C9921FC" w14:textId="6E978ADF" w:rsidR="00365A2A" w:rsidRDefault="00365A2A">
      <w:pPr>
        <w:spacing w:after="0" w:line="240" w:lineRule="auto"/>
        <w:rPr>
          <w:rFonts w:ascii="Verdana" w:hAnsi="Verdana"/>
          <w:bCs/>
          <w:i/>
        </w:rPr>
      </w:pPr>
    </w:p>
    <w:p w14:paraId="268EF713" w14:textId="77777777" w:rsidR="00D40420" w:rsidRDefault="00D40420">
      <w:pPr>
        <w:spacing w:after="0" w:line="240" w:lineRule="auto"/>
        <w:rPr>
          <w:rFonts w:ascii="Verdana" w:hAnsi="Verdana"/>
          <w:bCs/>
          <w:i/>
        </w:rPr>
      </w:pPr>
      <w:r>
        <w:rPr>
          <w:rFonts w:ascii="Verdana" w:hAnsi="Verdana"/>
          <w:bCs/>
          <w:i/>
        </w:rPr>
        <w:br w:type="page"/>
      </w:r>
    </w:p>
    <w:p w14:paraId="6C758D5A" w14:textId="18B30336" w:rsidR="00365A2A" w:rsidRDefault="004C6F0D">
      <w:pPr>
        <w:spacing w:after="0" w:line="240" w:lineRule="auto"/>
        <w:rPr>
          <w:rFonts w:ascii="Verdana" w:hAnsi="Verdana"/>
          <w:bCs/>
          <w:i/>
        </w:rPr>
      </w:pPr>
      <w:r>
        <w:rPr>
          <w:rFonts w:ascii="Verdana" w:hAnsi="Verdana"/>
          <w:bCs/>
          <w:i/>
        </w:rPr>
        <w:lastRenderedPageBreak/>
        <w:t xml:space="preserve">Figur 3: Illustration af </w:t>
      </w:r>
      <w:r w:rsidR="00365A2A">
        <w:rPr>
          <w:rFonts w:ascii="Verdana" w:hAnsi="Verdana"/>
          <w:bCs/>
          <w:i/>
        </w:rPr>
        <w:t>uddannelsesløftet, hvor udgifter og indtægter er omregnet til nutidsværdi</w:t>
      </w:r>
    </w:p>
    <w:p w14:paraId="1A5B1188" w14:textId="4D02A41A" w:rsidR="00365A2A" w:rsidRDefault="009F5713">
      <w:pPr>
        <w:spacing w:after="0" w:line="240" w:lineRule="auto"/>
        <w:rPr>
          <w:rFonts w:ascii="Verdana" w:hAnsi="Verdana"/>
          <w:b/>
          <w:bCs/>
        </w:rPr>
      </w:pPr>
      <w:r>
        <w:rPr>
          <w:noProof/>
          <w:lang w:val="en-US"/>
        </w:rPr>
        <w:drawing>
          <wp:inline distT="0" distB="0" distL="0" distR="0" wp14:anchorId="795E542E" wp14:editId="2D86F240">
            <wp:extent cx="5534025" cy="2600325"/>
            <wp:effectExtent l="0" t="0" r="9525"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7EF6C8" w14:textId="2E4D2875" w:rsidR="00613ED1" w:rsidRDefault="00613ED1">
      <w:pPr>
        <w:spacing w:after="0" w:line="240" w:lineRule="auto"/>
        <w:rPr>
          <w:rFonts w:ascii="Verdana" w:hAnsi="Verdana"/>
          <w:b/>
          <w:bCs/>
        </w:rPr>
      </w:pPr>
    </w:p>
    <w:p w14:paraId="7BFEA3D9" w14:textId="6C17F9F9" w:rsidR="00365A2A" w:rsidRPr="006A0FEA" w:rsidRDefault="00365A2A" w:rsidP="00365A2A">
      <w:pPr>
        <w:pStyle w:val="NoSpacing"/>
        <w:rPr>
          <w:rFonts w:ascii="Verdana" w:hAnsi="Verdana"/>
          <w:i/>
          <w:sz w:val="20"/>
        </w:rPr>
      </w:pPr>
      <w:proofErr w:type="spellStart"/>
      <w:r w:rsidRPr="006A0FEA">
        <w:rPr>
          <w:rFonts w:ascii="Verdana" w:hAnsi="Verdana"/>
          <w:i/>
          <w:sz w:val="20"/>
        </w:rPr>
        <w:t>Anm</w:t>
      </w:r>
      <w:proofErr w:type="spellEnd"/>
      <w:r w:rsidRPr="006A0FEA">
        <w:rPr>
          <w:rFonts w:ascii="Verdana" w:hAnsi="Verdana"/>
          <w:i/>
          <w:sz w:val="20"/>
        </w:rPr>
        <w:t>: Figuren viser hhv. den årlige saldoeffekt og den akkumulerede saldoeffekt af at gennemføres det beskrevne uddannelsesløft.</w:t>
      </w:r>
      <w:r>
        <w:rPr>
          <w:rFonts w:ascii="Verdana" w:hAnsi="Verdana"/>
          <w:i/>
          <w:sz w:val="20"/>
        </w:rPr>
        <w:t xml:space="preserve"> Der er lagt en samfundsøkonomisk diskonteringsrente på 4 pct. de første 35 år og en diskonteringsrente på 3 pct. for de følgende år til grund for</w:t>
      </w:r>
      <w:r w:rsidR="002617DD">
        <w:rPr>
          <w:rFonts w:ascii="Verdana" w:hAnsi="Verdana"/>
          <w:i/>
          <w:sz w:val="20"/>
        </w:rPr>
        <w:t xml:space="preserve"> beregningen af nutidsv</w:t>
      </w:r>
      <w:r>
        <w:rPr>
          <w:rFonts w:ascii="Verdana" w:hAnsi="Verdana"/>
          <w:i/>
          <w:sz w:val="20"/>
        </w:rPr>
        <w:t xml:space="preserve">ærdi. </w:t>
      </w:r>
    </w:p>
    <w:p w14:paraId="24BE8014" w14:textId="302AB328" w:rsidR="006F52A6" w:rsidRDefault="00365A2A" w:rsidP="00365A2A">
      <w:pPr>
        <w:spacing w:after="0" w:line="240" w:lineRule="auto"/>
        <w:rPr>
          <w:rFonts w:ascii="Verdana" w:hAnsi="Verdana"/>
          <w:b/>
          <w:bCs/>
        </w:rPr>
      </w:pPr>
      <w:r w:rsidRPr="006A0FEA">
        <w:rPr>
          <w:rFonts w:ascii="Verdana" w:hAnsi="Verdana"/>
          <w:i/>
          <w:sz w:val="20"/>
        </w:rPr>
        <w:t>Kilde: De beskrevne kilder i notatet samt egne beregninger</w:t>
      </w:r>
      <w:r>
        <w:rPr>
          <w:rFonts w:ascii="Verdana" w:hAnsi="Verdana"/>
          <w:b/>
          <w:bCs/>
        </w:rPr>
        <w:t xml:space="preserve"> </w:t>
      </w:r>
      <w:r w:rsidR="006F52A6">
        <w:rPr>
          <w:rFonts w:ascii="Verdana" w:hAnsi="Verdana"/>
          <w:b/>
          <w:bCs/>
        </w:rPr>
        <w:br w:type="page"/>
      </w:r>
    </w:p>
    <w:p w14:paraId="3D57AC18" w14:textId="77777777" w:rsidR="00946CE6" w:rsidRDefault="00946CE6">
      <w:pPr>
        <w:spacing w:after="0" w:line="240" w:lineRule="auto"/>
        <w:rPr>
          <w:rFonts w:ascii="Verdana" w:hAnsi="Verdana"/>
          <w:b/>
        </w:rPr>
      </w:pPr>
    </w:p>
    <w:sdt>
      <w:sdtPr>
        <w:rPr>
          <w:rFonts w:ascii="Verdana" w:hAnsi="Verdana"/>
          <w:b/>
          <w:bCs w:val="0"/>
          <w:color w:val="auto"/>
          <w:szCs w:val="22"/>
          <w:lang w:val="da-DK"/>
        </w:rPr>
        <w:id w:val="498241864"/>
        <w:docPartObj>
          <w:docPartGallery w:val="Bibliographies"/>
          <w:docPartUnique/>
        </w:docPartObj>
      </w:sdtPr>
      <w:sdtEndPr>
        <w:rPr>
          <w:b w:val="0"/>
        </w:rPr>
      </w:sdtEndPr>
      <w:sdtContent>
        <w:p w14:paraId="48D4B77B" w14:textId="49B97343" w:rsidR="00C73A61" w:rsidRPr="00550573" w:rsidRDefault="00C73A61" w:rsidP="00C73A61">
          <w:pPr>
            <w:pStyle w:val="Heading1"/>
            <w:rPr>
              <w:rStyle w:val="Heading3Char"/>
              <w:lang w:val="da-DK"/>
            </w:rPr>
          </w:pPr>
          <w:r w:rsidRPr="00550573">
            <w:rPr>
              <w:rStyle w:val="Heading3Char"/>
              <w:lang w:val="da-DK"/>
            </w:rPr>
            <w:t>Litteratur</w:t>
          </w:r>
          <w:r w:rsidR="006A0FEA" w:rsidRPr="00550573">
            <w:rPr>
              <w:rStyle w:val="Heading3Char"/>
              <w:lang w:val="da-DK"/>
            </w:rPr>
            <w:t xml:space="preserve"> og kilder</w:t>
          </w:r>
        </w:p>
        <w:sdt>
          <w:sdtPr>
            <w:rPr>
              <w:rFonts w:ascii="Verdana" w:hAnsi="Verdana"/>
            </w:rPr>
            <w:id w:val="111145805"/>
            <w:bibliography/>
          </w:sdtPr>
          <w:sdtEndPr/>
          <w:sdtContent>
            <w:p w14:paraId="3FB6366A" w14:textId="77777777" w:rsidR="006A0FEA" w:rsidRDefault="00C73A61" w:rsidP="006A0FEA">
              <w:pPr>
                <w:pStyle w:val="Bibliography"/>
                <w:rPr>
                  <w:noProof/>
                  <w:sz w:val="24"/>
                  <w:szCs w:val="24"/>
                  <w:lang w:val="en-GB"/>
                </w:rPr>
              </w:pPr>
              <w:r w:rsidRPr="00C71DCE">
                <w:rPr>
                  <w:rFonts w:ascii="Verdana" w:hAnsi="Verdana"/>
                </w:rPr>
                <w:fldChar w:fldCharType="begin"/>
              </w:r>
              <w:r w:rsidRPr="00550573">
                <w:rPr>
                  <w:rFonts w:ascii="Verdana" w:hAnsi="Verdana"/>
                </w:rPr>
                <w:instrText>BIBLIOGRAPHY</w:instrText>
              </w:r>
              <w:r w:rsidRPr="00C71DCE">
                <w:rPr>
                  <w:rFonts w:ascii="Verdana" w:hAnsi="Verdana"/>
                </w:rPr>
                <w:fldChar w:fldCharType="separate"/>
              </w:r>
              <w:r w:rsidR="006A0FEA" w:rsidRPr="00550573">
                <w:rPr>
                  <w:noProof/>
                </w:rPr>
                <w:t xml:space="preserve">Acosta-Ormaechea, S. &amp; Morozumi, A., 2013. </w:t>
              </w:r>
              <w:r w:rsidR="006A0FEA">
                <w:rPr>
                  <w:i/>
                  <w:iCs/>
                  <w:noProof/>
                  <w:lang w:val="en-GB"/>
                </w:rPr>
                <w:t xml:space="preserve">Can a Government Enhance Long-Run Growth by Changing the Composition of Public Expenditure?, </w:t>
              </w:r>
              <w:r w:rsidR="006A0FEA">
                <w:rPr>
                  <w:noProof/>
                  <w:lang w:val="en-GB"/>
                </w:rPr>
                <w:t>s.l.: IMF.</w:t>
              </w:r>
            </w:p>
            <w:p w14:paraId="4C525759" w14:textId="77777777" w:rsidR="006A0FEA" w:rsidRPr="006A0FEA" w:rsidRDefault="006A0FEA" w:rsidP="006A0FEA">
              <w:pPr>
                <w:pStyle w:val="Bibliography"/>
                <w:rPr>
                  <w:noProof/>
                </w:rPr>
              </w:pPr>
              <w:r w:rsidRPr="006A0FEA">
                <w:rPr>
                  <w:noProof/>
                </w:rPr>
                <w:t xml:space="preserve">AE, 2010. </w:t>
              </w:r>
              <w:r w:rsidRPr="006A0FEA">
                <w:rPr>
                  <w:i/>
                  <w:iCs/>
                  <w:noProof/>
                </w:rPr>
                <w:t xml:space="preserve">Fra ufaglært til faglært giver bonus i baglommen. </w:t>
              </w:r>
              <w:r w:rsidRPr="006A0FEA">
                <w:rPr>
                  <w:noProof/>
                </w:rPr>
                <w:t>København: Arbejdernes Erhvervsråd.</w:t>
              </w:r>
            </w:p>
            <w:p w14:paraId="0DEDDF2E" w14:textId="77777777" w:rsidR="006A0FEA" w:rsidRPr="006A0FEA" w:rsidRDefault="006A0FEA" w:rsidP="006A0FEA">
              <w:pPr>
                <w:pStyle w:val="Bibliography"/>
                <w:rPr>
                  <w:noProof/>
                </w:rPr>
              </w:pPr>
              <w:r w:rsidRPr="006A0FEA">
                <w:rPr>
                  <w:noProof/>
                </w:rPr>
                <w:t xml:space="preserve">AE, 2017. </w:t>
              </w:r>
              <w:r w:rsidRPr="006A0FEA">
                <w:rPr>
                  <w:i/>
                  <w:iCs/>
                  <w:noProof/>
                </w:rPr>
                <w:t xml:space="preserve">Færre læreruddannede i folkeskolen, </w:t>
              </w:r>
              <w:r w:rsidRPr="006A0FEA">
                <w:rPr>
                  <w:noProof/>
                </w:rPr>
                <w:t>København: AE.</w:t>
              </w:r>
            </w:p>
            <w:p w14:paraId="7997A61F" w14:textId="77777777" w:rsidR="006A0FEA" w:rsidRDefault="006A0FEA" w:rsidP="006A0FEA">
              <w:pPr>
                <w:pStyle w:val="Bibliography"/>
                <w:rPr>
                  <w:noProof/>
                  <w:lang w:val="en-GB"/>
                </w:rPr>
              </w:pPr>
              <w:r>
                <w:rPr>
                  <w:noProof/>
                  <w:lang w:val="en-GB"/>
                </w:rPr>
                <w:t xml:space="preserve">Barbiero, O. &amp; Cournède, B., 2013. </w:t>
              </w:r>
              <w:r>
                <w:rPr>
                  <w:i/>
                  <w:iCs/>
                  <w:noProof/>
                  <w:lang w:val="en-GB"/>
                </w:rPr>
                <w:t xml:space="preserve">New Econometric Estimates of Long-term Growth Effects of Different Areas of Public Spending, </w:t>
              </w:r>
              <w:r>
                <w:rPr>
                  <w:noProof/>
                  <w:lang w:val="en-GB"/>
                </w:rPr>
                <w:t>s.l.: OECD.</w:t>
              </w:r>
            </w:p>
            <w:p w14:paraId="49CCFF3A" w14:textId="77777777" w:rsidR="006A0FEA" w:rsidRDefault="006A0FEA" w:rsidP="006A0FEA">
              <w:pPr>
                <w:pStyle w:val="Bibliography"/>
                <w:rPr>
                  <w:noProof/>
                  <w:lang w:val="en-GB"/>
                </w:rPr>
              </w:pPr>
              <w:r>
                <w:rPr>
                  <w:noProof/>
                  <w:lang w:val="en-GB"/>
                </w:rPr>
                <w:t xml:space="preserve">Barro, R. J., 1990. Government Spending in a Simple Model of Endogeneous Growth. </w:t>
              </w:r>
              <w:r>
                <w:rPr>
                  <w:i/>
                  <w:iCs/>
                  <w:noProof/>
                  <w:lang w:val="en-GB"/>
                </w:rPr>
                <w:t>The Journal of Political Economy</w:t>
              </w:r>
              <w:r>
                <w:rPr>
                  <w:noProof/>
                  <w:lang w:val="en-GB"/>
                </w:rPr>
                <w:t>, October, pp. 103-125.</w:t>
              </w:r>
            </w:p>
            <w:p w14:paraId="58683999" w14:textId="77777777" w:rsidR="006A0FEA" w:rsidRDefault="006A0FEA" w:rsidP="006A0FEA">
              <w:pPr>
                <w:pStyle w:val="Bibliography"/>
                <w:rPr>
                  <w:noProof/>
                  <w:lang w:val="en-GB"/>
                </w:rPr>
              </w:pPr>
              <w:r>
                <w:rPr>
                  <w:noProof/>
                  <w:lang w:val="en-GB"/>
                </w:rPr>
                <w:t xml:space="preserve">Bassanini, A. &amp; Scarpetta, S., 2001. </w:t>
              </w:r>
              <w:r>
                <w:rPr>
                  <w:i/>
                  <w:iCs/>
                  <w:noProof/>
                  <w:lang w:val="en-GB"/>
                </w:rPr>
                <w:t xml:space="preserve">The Driving Forces of Economic Growth: Panel data evidence for the OECD Countries, </w:t>
              </w:r>
              <w:r>
                <w:rPr>
                  <w:noProof/>
                  <w:lang w:val="en-GB"/>
                </w:rPr>
                <w:t>s.l.: OECD Economics Studies.</w:t>
              </w:r>
            </w:p>
            <w:p w14:paraId="31768125" w14:textId="77777777" w:rsidR="006A0FEA" w:rsidRDefault="006A0FEA" w:rsidP="006A0FEA">
              <w:pPr>
                <w:pStyle w:val="Bibliography"/>
                <w:rPr>
                  <w:noProof/>
                  <w:lang w:val="en-GB"/>
                </w:rPr>
              </w:pPr>
              <w:r>
                <w:rPr>
                  <w:noProof/>
                  <w:lang w:val="en-GB"/>
                </w:rPr>
                <w:t xml:space="preserve">Becker, G., 1964. </w:t>
              </w:r>
              <w:r>
                <w:rPr>
                  <w:i/>
                  <w:iCs/>
                  <w:noProof/>
                  <w:lang w:val="en-GB"/>
                </w:rPr>
                <w:t xml:space="preserve">Human Capital: A Theoretical and Emperical Analysis, with Special Reference to Education. </w:t>
              </w:r>
              <w:r>
                <w:rPr>
                  <w:noProof/>
                  <w:lang w:val="en-GB"/>
                </w:rPr>
                <w:t>New York: Columbia University Press.</w:t>
              </w:r>
            </w:p>
            <w:p w14:paraId="2A4524C3" w14:textId="77777777" w:rsidR="006A0FEA" w:rsidRDefault="006A0FEA" w:rsidP="006A0FEA">
              <w:pPr>
                <w:pStyle w:val="Bibliography"/>
                <w:rPr>
                  <w:noProof/>
                  <w:lang w:val="en-GB"/>
                </w:rPr>
              </w:pPr>
              <w:r>
                <w:rPr>
                  <w:noProof/>
                  <w:lang w:val="en-GB"/>
                </w:rPr>
                <w:t xml:space="preserve">Besley, T., 2001. From Micro to Macro: Public Policies and Aggregate Economic Performance. </w:t>
              </w:r>
              <w:r>
                <w:rPr>
                  <w:i/>
                  <w:iCs/>
                  <w:noProof/>
                  <w:lang w:val="en-GB"/>
                </w:rPr>
                <w:t>Fiscal Studies</w:t>
              </w:r>
              <w:r>
                <w:rPr>
                  <w:noProof/>
                  <w:lang w:val="en-GB"/>
                </w:rPr>
                <w:t>, pp. 357-374.</w:t>
              </w:r>
            </w:p>
            <w:p w14:paraId="39A008C8" w14:textId="77777777" w:rsidR="006A0FEA" w:rsidRDefault="006A0FEA" w:rsidP="006A0FEA">
              <w:pPr>
                <w:pStyle w:val="Bibliography"/>
                <w:rPr>
                  <w:noProof/>
                  <w:lang w:val="en-GB"/>
                </w:rPr>
              </w:pPr>
              <w:r>
                <w:rPr>
                  <w:noProof/>
                  <w:lang w:val="en-GB"/>
                </w:rPr>
                <w:t xml:space="preserve">Danmarks Statistik I, 2017. </w:t>
              </w:r>
              <w:r>
                <w:rPr>
                  <w:i/>
                  <w:iCs/>
                  <w:noProof/>
                  <w:lang w:val="en-GB"/>
                </w:rPr>
                <w:t xml:space="preserve">Statistikbanken. </w:t>
              </w:r>
              <w:r>
                <w:rPr>
                  <w:noProof/>
                  <w:lang w:val="en-GB"/>
                </w:rPr>
                <w:t xml:space="preserve">[Online] </w:t>
              </w:r>
              <w:r>
                <w:rPr>
                  <w:noProof/>
                  <w:lang w:val="en-GB"/>
                </w:rPr>
                <w:br/>
                <w:t xml:space="preserve">Available at: </w:t>
              </w:r>
              <w:r>
                <w:rPr>
                  <w:noProof/>
                  <w:u w:val="single"/>
                  <w:lang w:val="en-GB"/>
                </w:rPr>
                <w:t>Tabel:HFUDD10</w:t>
              </w:r>
              <w:r>
                <w:rPr>
                  <w:noProof/>
                  <w:lang w:val="en-GB"/>
                </w:rPr>
                <w:br/>
                <w:t>[Accessed 28 December 2017].</w:t>
              </w:r>
            </w:p>
            <w:p w14:paraId="4B7DC67C" w14:textId="77777777" w:rsidR="006A0FEA" w:rsidRDefault="006A0FEA" w:rsidP="006A0FEA">
              <w:pPr>
                <w:pStyle w:val="Bibliography"/>
                <w:rPr>
                  <w:noProof/>
                  <w:lang w:val="en-GB"/>
                </w:rPr>
              </w:pPr>
              <w:r>
                <w:rPr>
                  <w:noProof/>
                  <w:lang w:val="en-GB"/>
                </w:rPr>
                <w:t xml:space="preserve">Danmarks Statistik II, 2017. </w:t>
              </w:r>
              <w:r>
                <w:rPr>
                  <w:i/>
                  <w:iCs/>
                  <w:noProof/>
                  <w:lang w:val="en-GB"/>
                </w:rPr>
                <w:t xml:space="preserve">statistikbanken.dk. </w:t>
              </w:r>
              <w:r>
                <w:rPr>
                  <w:noProof/>
                  <w:lang w:val="en-GB"/>
                </w:rPr>
                <w:t xml:space="preserve">[Online] </w:t>
              </w:r>
              <w:r>
                <w:rPr>
                  <w:noProof/>
                  <w:lang w:val="en-GB"/>
                </w:rPr>
                <w:br/>
                <w:t xml:space="preserve">Available at: </w:t>
              </w:r>
              <w:r>
                <w:rPr>
                  <w:noProof/>
                  <w:u w:val="single"/>
                  <w:lang w:val="en-GB"/>
                </w:rPr>
                <w:t>Tabel: INDKP111</w:t>
              </w:r>
              <w:r>
                <w:rPr>
                  <w:noProof/>
                  <w:lang w:val="en-GB"/>
                </w:rPr>
                <w:br/>
                <w:t>[Accessed 30 december 2017].</w:t>
              </w:r>
            </w:p>
            <w:p w14:paraId="3334571E" w14:textId="77777777" w:rsidR="006A0FEA" w:rsidRPr="006A0FEA" w:rsidRDefault="006A0FEA" w:rsidP="006A0FEA">
              <w:pPr>
                <w:pStyle w:val="Bibliography"/>
                <w:rPr>
                  <w:noProof/>
                </w:rPr>
              </w:pPr>
              <w:r w:rsidRPr="006A0FEA">
                <w:rPr>
                  <w:noProof/>
                </w:rPr>
                <w:t xml:space="preserve">Danmarks Statistik III, 2017. </w:t>
              </w:r>
              <w:r w:rsidRPr="006A0FEA">
                <w:rPr>
                  <w:i/>
                  <w:iCs/>
                  <w:noProof/>
                </w:rPr>
                <w:t xml:space="preserve">Statistikbanken. </w:t>
              </w:r>
              <w:r w:rsidRPr="006A0FEA">
                <w:rPr>
                  <w:noProof/>
                </w:rPr>
                <w:t xml:space="preserve">[Online] </w:t>
              </w:r>
              <w:r w:rsidRPr="006A0FEA">
                <w:rPr>
                  <w:noProof/>
                </w:rPr>
                <w:br/>
                <w:t xml:space="preserve">Available at: </w:t>
              </w:r>
              <w:r w:rsidRPr="006A0FEA">
                <w:rPr>
                  <w:noProof/>
                  <w:u w:val="single"/>
                </w:rPr>
                <w:t>Tabel:NRHP</w:t>
              </w:r>
              <w:r w:rsidRPr="006A0FEA">
                <w:rPr>
                  <w:noProof/>
                </w:rPr>
                <w:br/>
                <w:t>[Accessed 30 december 2017].</w:t>
              </w:r>
            </w:p>
            <w:p w14:paraId="79FEEC17" w14:textId="77777777" w:rsidR="006A0FEA" w:rsidRPr="006A0FEA" w:rsidRDefault="006A0FEA" w:rsidP="006A0FEA">
              <w:pPr>
                <w:pStyle w:val="Bibliography"/>
                <w:rPr>
                  <w:noProof/>
                </w:rPr>
              </w:pPr>
              <w:r w:rsidRPr="006A0FEA">
                <w:rPr>
                  <w:noProof/>
                </w:rPr>
                <w:t xml:space="preserve">Danmarks Statistik IV, 2017. </w:t>
              </w:r>
              <w:r w:rsidRPr="006A0FEA">
                <w:rPr>
                  <w:i/>
                  <w:iCs/>
                  <w:noProof/>
                </w:rPr>
                <w:t xml:space="preserve">statistikbanken.dk. </w:t>
              </w:r>
              <w:r w:rsidRPr="006A0FEA">
                <w:rPr>
                  <w:noProof/>
                </w:rPr>
                <w:t xml:space="preserve">[Online] </w:t>
              </w:r>
              <w:r w:rsidRPr="006A0FEA">
                <w:rPr>
                  <w:noProof/>
                </w:rPr>
                <w:br/>
                <w:t xml:space="preserve">Available at: </w:t>
              </w:r>
              <w:r w:rsidRPr="006A0FEA">
                <w:rPr>
                  <w:noProof/>
                  <w:u w:val="single"/>
                </w:rPr>
                <w:t>Tabel:OFF10</w:t>
              </w:r>
              <w:r w:rsidRPr="006A0FEA">
                <w:rPr>
                  <w:noProof/>
                </w:rPr>
                <w:br/>
                <w:t>[Accessed 30 december 2017].</w:t>
              </w:r>
            </w:p>
            <w:p w14:paraId="43B43886" w14:textId="77777777" w:rsidR="006A0FEA" w:rsidRPr="006A0FEA" w:rsidRDefault="006A0FEA" w:rsidP="006A0FEA">
              <w:pPr>
                <w:pStyle w:val="Bibliography"/>
                <w:rPr>
                  <w:noProof/>
                </w:rPr>
              </w:pPr>
              <w:r w:rsidRPr="006A0FEA">
                <w:rPr>
                  <w:noProof/>
                </w:rPr>
                <w:t xml:space="preserve">Danmarks Statistik, 2012. </w:t>
              </w:r>
              <w:r w:rsidRPr="006A0FEA">
                <w:rPr>
                  <w:i/>
                  <w:iCs/>
                  <w:noProof/>
                </w:rPr>
                <w:t xml:space="preserve">ADAM - en model af dansk økonomi. </w:t>
              </w:r>
              <w:r w:rsidRPr="006A0FEA">
                <w:rPr>
                  <w:noProof/>
                </w:rPr>
                <w:t>1. ed. København: Danmarks Statistik.</w:t>
              </w:r>
            </w:p>
            <w:p w14:paraId="73E9446B" w14:textId="77777777" w:rsidR="006A0FEA" w:rsidRPr="006A0FEA" w:rsidRDefault="006A0FEA" w:rsidP="006A0FEA">
              <w:pPr>
                <w:pStyle w:val="Bibliography"/>
                <w:rPr>
                  <w:noProof/>
                </w:rPr>
              </w:pPr>
              <w:r w:rsidRPr="006A0FEA">
                <w:rPr>
                  <w:noProof/>
                </w:rPr>
                <w:t xml:space="preserve">De Økonomiske Råd, 2017. </w:t>
              </w:r>
              <w:r w:rsidRPr="006A0FEA">
                <w:rPr>
                  <w:i/>
                  <w:iCs/>
                  <w:noProof/>
                </w:rPr>
                <w:t xml:space="preserve">Diskussionsoplæg, forårsrapport 2017, </w:t>
              </w:r>
              <w:r w:rsidRPr="006A0FEA">
                <w:rPr>
                  <w:noProof/>
                </w:rPr>
                <w:t>København: De Økonomiske Råd, Formandsskabet.</w:t>
              </w:r>
            </w:p>
            <w:p w14:paraId="56F2B19C" w14:textId="77777777" w:rsidR="006A0FEA" w:rsidRPr="006A0FEA" w:rsidRDefault="006A0FEA" w:rsidP="006A0FEA">
              <w:pPr>
                <w:pStyle w:val="Bibliography"/>
                <w:rPr>
                  <w:noProof/>
                </w:rPr>
              </w:pPr>
              <w:r w:rsidRPr="006A0FEA">
                <w:rPr>
                  <w:noProof/>
                </w:rPr>
                <w:t xml:space="preserve">Finansministeriet, 2014. </w:t>
              </w:r>
              <w:r w:rsidRPr="006A0FEA">
                <w:rPr>
                  <w:i/>
                  <w:iCs/>
                  <w:noProof/>
                </w:rPr>
                <w:t xml:space="preserve">Finansredegørelse 2014, </w:t>
              </w:r>
              <w:r w:rsidRPr="006A0FEA">
                <w:rPr>
                  <w:noProof/>
                </w:rPr>
                <w:t>København: Finansministeriet.</w:t>
              </w:r>
            </w:p>
            <w:p w14:paraId="37948783" w14:textId="77777777" w:rsidR="006A0FEA" w:rsidRPr="006A0FEA" w:rsidRDefault="006A0FEA" w:rsidP="006A0FEA">
              <w:pPr>
                <w:pStyle w:val="Bibliography"/>
                <w:rPr>
                  <w:noProof/>
                </w:rPr>
              </w:pPr>
              <w:r w:rsidRPr="006A0FEA">
                <w:rPr>
                  <w:noProof/>
                </w:rPr>
                <w:lastRenderedPageBreak/>
                <w:t xml:space="preserve">Fosse, H. B., Jacobsen, R. H., Lykkebo, O. B. &amp; Brandt, K. M. S., 2013. </w:t>
              </w:r>
              <w:r w:rsidRPr="006A0FEA">
                <w:rPr>
                  <w:i/>
                  <w:iCs/>
                  <w:noProof/>
                </w:rPr>
                <w:t xml:space="preserve">Produktivitetseffekter af uddannelse og generelt uddannelsesløft i den private sektor, </w:t>
              </w:r>
              <w:r w:rsidRPr="006A0FEA">
                <w:rPr>
                  <w:noProof/>
                </w:rPr>
                <w:t>København: Centre for Economic and Business Research (CEBR).</w:t>
              </w:r>
            </w:p>
            <w:p w14:paraId="581F7E43" w14:textId="77777777" w:rsidR="006A0FEA" w:rsidRDefault="006A0FEA" w:rsidP="006A0FEA">
              <w:pPr>
                <w:pStyle w:val="Bibliography"/>
                <w:rPr>
                  <w:noProof/>
                  <w:lang w:val="en-GB"/>
                </w:rPr>
              </w:pPr>
              <w:r>
                <w:rPr>
                  <w:noProof/>
                  <w:lang w:val="en-GB"/>
                </w:rPr>
                <w:t xml:space="preserve">Fournier, J.-M., 2016. The Positive Effect of Public Investement on Potential Growth. </w:t>
              </w:r>
              <w:r>
                <w:rPr>
                  <w:i/>
                  <w:iCs/>
                  <w:noProof/>
                  <w:lang w:val="en-GB"/>
                </w:rPr>
                <w:t>OECD Economic Department Working Papers</w:t>
              </w:r>
              <w:r>
                <w:rPr>
                  <w:noProof/>
                  <w:lang w:val="en-GB"/>
                </w:rPr>
                <w:t>, November, pp. 1-24.</w:t>
              </w:r>
            </w:p>
            <w:p w14:paraId="4B3BA9BB" w14:textId="77777777" w:rsidR="006A0FEA" w:rsidRDefault="006A0FEA" w:rsidP="006A0FEA">
              <w:pPr>
                <w:pStyle w:val="Bibliography"/>
                <w:rPr>
                  <w:noProof/>
                  <w:lang w:val="en-GB"/>
                </w:rPr>
              </w:pPr>
              <w:r>
                <w:rPr>
                  <w:noProof/>
                  <w:lang w:val="en-GB"/>
                </w:rPr>
                <w:t xml:space="preserve">Fournier, J.-M. &amp; Johansson, Å., 2016. The Effect of the Size and the Mix of Public Spending on Growth and Inequality. </w:t>
              </w:r>
              <w:r>
                <w:rPr>
                  <w:i/>
                  <w:iCs/>
                  <w:noProof/>
                  <w:lang w:val="en-GB"/>
                </w:rPr>
                <w:t>OECD Economics Department Working Papers</w:t>
              </w:r>
              <w:r>
                <w:rPr>
                  <w:noProof/>
                  <w:lang w:val="en-GB"/>
                </w:rPr>
                <w:t>, 25 November, pp. 1-55.</w:t>
              </w:r>
            </w:p>
            <w:p w14:paraId="4AEB3929" w14:textId="77777777" w:rsidR="006A0FEA" w:rsidRDefault="006A0FEA" w:rsidP="006A0FEA">
              <w:pPr>
                <w:pStyle w:val="Bibliography"/>
                <w:rPr>
                  <w:noProof/>
                  <w:lang w:val="en-GB"/>
                </w:rPr>
              </w:pPr>
              <w:r>
                <w:rPr>
                  <w:noProof/>
                  <w:lang w:val="en-GB"/>
                </w:rPr>
                <w:t xml:space="preserve">Hanushek, E. A. &amp; Wössmann, L., 2007. The Role of Education Quality in Economic Growth. </w:t>
              </w:r>
              <w:r>
                <w:rPr>
                  <w:i/>
                  <w:iCs/>
                  <w:noProof/>
                  <w:lang w:val="en-GB"/>
                </w:rPr>
                <w:t xml:space="preserve">World Bank Policy Research Working Paper </w:t>
              </w:r>
              <w:r>
                <w:rPr>
                  <w:noProof/>
                  <w:lang w:val="en-GB"/>
                </w:rPr>
                <w:t>, Februar, pp. 1-94.</w:t>
              </w:r>
            </w:p>
            <w:p w14:paraId="3CFCA5A6" w14:textId="77777777" w:rsidR="006A0FEA" w:rsidRDefault="006A0FEA" w:rsidP="006A0FEA">
              <w:pPr>
                <w:pStyle w:val="Bibliography"/>
                <w:rPr>
                  <w:noProof/>
                  <w:lang w:val="en-GB"/>
                </w:rPr>
              </w:pPr>
              <w:r>
                <w:rPr>
                  <w:noProof/>
                  <w:lang w:val="en-GB"/>
                </w:rPr>
                <w:t xml:space="preserve">Hanushek, E. A. &amp; Wössmann, L., 2010. Education and Economic Growth. </w:t>
              </w:r>
              <w:r>
                <w:rPr>
                  <w:i/>
                  <w:iCs/>
                  <w:noProof/>
                  <w:lang w:val="en-GB"/>
                </w:rPr>
                <w:t>International Encyclopedia of Education</w:t>
              </w:r>
              <w:r>
                <w:rPr>
                  <w:noProof/>
                  <w:lang w:val="en-GB"/>
                </w:rPr>
                <w:t>, pp. 245-252.</w:t>
              </w:r>
            </w:p>
            <w:p w14:paraId="436B9D48" w14:textId="77777777" w:rsidR="006A0FEA" w:rsidRPr="006A0FEA" w:rsidRDefault="006A0FEA" w:rsidP="006A0FEA">
              <w:pPr>
                <w:pStyle w:val="Bibliography"/>
                <w:rPr>
                  <w:noProof/>
                </w:rPr>
              </w:pPr>
              <w:r w:rsidRPr="006A0FEA">
                <w:rPr>
                  <w:noProof/>
                </w:rPr>
                <w:t xml:space="preserve">Junge, M. &amp; Skaksen, J. R., 2010. </w:t>
              </w:r>
              <w:r w:rsidRPr="006A0FEA">
                <w:rPr>
                  <w:i/>
                  <w:iCs/>
                  <w:noProof/>
                </w:rPr>
                <w:t xml:space="preserve">Produktivitet og videregående uddannelse, </w:t>
              </w:r>
              <w:r w:rsidRPr="006A0FEA">
                <w:rPr>
                  <w:noProof/>
                </w:rPr>
                <w:t>Frederiksberg: CEBR - Centre For Economic and Business Research.</w:t>
              </w:r>
            </w:p>
            <w:p w14:paraId="127DB40B" w14:textId="77777777" w:rsidR="006A0FEA" w:rsidRPr="006A0FEA" w:rsidRDefault="006A0FEA" w:rsidP="006A0FEA">
              <w:pPr>
                <w:pStyle w:val="Bibliography"/>
                <w:rPr>
                  <w:noProof/>
                </w:rPr>
              </w:pPr>
              <w:r w:rsidRPr="006A0FEA">
                <w:rPr>
                  <w:noProof/>
                </w:rPr>
                <w:t xml:space="preserve">KORA og Incentives, 2016. </w:t>
              </w:r>
              <w:r w:rsidRPr="006A0FEA">
                <w:rPr>
                  <w:i/>
                  <w:iCs/>
                  <w:noProof/>
                </w:rPr>
                <w:t xml:space="preserve">Den Socialøkonomiske investeringsmodel (SØM) - teknisk indhold, </w:t>
              </w:r>
              <w:r w:rsidRPr="006A0FEA">
                <w:rPr>
                  <w:noProof/>
                </w:rPr>
                <w:t>København: Det Nationale Institut for Kommuners og Regioners Analyse og Forskning.</w:t>
              </w:r>
            </w:p>
            <w:p w14:paraId="7B70B826" w14:textId="77777777" w:rsidR="006A0FEA" w:rsidRDefault="006A0FEA" w:rsidP="006A0FEA">
              <w:pPr>
                <w:pStyle w:val="Bibliography"/>
                <w:rPr>
                  <w:noProof/>
                  <w:lang w:val="en-GB"/>
                </w:rPr>
              </w:pPr>
              <w:r>
                <w:rPr>
                  <w:noProof/>
                  <w:lang w:val="en-GB"/>
                </w:rPr>
                <w:t xml:space="preserve">Krueger, A. B., 2003. Economic Considerations and Class size. </w:t>
              </w:r>
              <w:r>
                <w:rPr>
                  <w:i/>
                  <w:iCs/>
                  <w:noProof/>
                  <w:lang w:val="en-GB"/>
                </w:rPr>
                <w:t>The Economic Journal</w:t>
              </w:r>
              <w:r>
                <w:rPr>
                  <w:noProof/>
                  <w:lang w:val="en-GB"/>
                </w:rPr>
                <w:t>, pp. 34-63.</w:t>
              </w:r>
            </w:p>
            <w:p w14:paraId="2E5585D0" w14:textId="77777777" w:rsidR="006A0FEA" w:rsidRDefault="006A0FEA" w:rsidP="006A0FEA">
              <w:pPr>
                <w:pStyle w:val="Bibliography"/>
                <w:rPr>
                  <w:noProof/>
                  <w:lang w:val="en-GB"/>
                </w:rPr>
              </w:pPr>
              <w:r>
                <w:rPr>
                  <w:noProof/>
                  <w:lang w:val="en-GB"/>
                </w:rPr>
                <w:t xml:space="preserve">Mincer, J., 1974. </w:t>
              </w:r>
              <w:r>
                <w:rPr>
                  <w:i/>
                  <w:iCs/>
                  <w:noProof/>
                  <w:lang w:val="en-GB"/>
                </w:rPr>
                <w:t xml:space="preserve">Schooling, Experience and Earnings. </w:t>
              </w:r>
              <w:r>
                <w:rPr>
                  <w:noProof/>
                  <w:lang w:val="en-GB"/>
                </w:rPr>
                <w:t>New York: Columbia Univeristy Press.</w:t>
              </w:r>
            </w:p>
            <w:p w14:paraId="21FB47B8" w14:textId="77777777" w:rsidR="006A0FEA" w:rsidRPr="006A0FEA" w:rsidRDefault="006A0FEA" w:rsidP="006A0FEA">
              <w:pPr>
                <w:pStyle w:val="Bibliography"/>
                <w:rPr>
                  <w:noProof/>
                </w:rPr>
              </w:pPr>
              <w:r w:rsidRPr="006A0FEA">
                <w:rPr>
                  <w:noProof/>
                </w:rPr>
                <w:t xml:space="preserve">Rambøll og SFI, 2013. </w:t>
              </w:r>
              <w:r w:rsidRPr="006A0FEA">
                <w:rPr>
                  <w:i/>
                  <w:iCs/>
                  <w:noProof/>
                </w:rPr>
                <w:t xml:space="preserve">Samfundsøkonomisk analyse af metoder - Hjemløsestrategien, </w:t>
              </w:r>
              <w:r w:rsidRPr="006A0FEA">
                <w:rPr>
                  <w:noProof/>
                </w:rPr>
                <w:t>København: Rambøll og SFI.</w:t>
              </w:r>
            </w:p>
            <w:p w14:paraId="3FFB1870" w14:textId="77777777" w:rsidR="006A0FEA" w:rsidRPr="006A0FEA" w:rsidRDefault="006A0FEA" w:rsidP="006A0FEA">
              <w:pPr>
                <w:pStyle w:val="Bibliography"/>
                <w:rPr>
                  <w:noProof/>
                </w:rPr>
              </w:pPr>
              <w:r w:rsidRPr="006A0FEA">
                <w:rPr>
                  <w:noProof/>
                </w:rPr>
                <w:t xml:space="preserve">Rambøll, 2012. </w:t>
              </w:r>
              <w:r w:rsidRPr="006A0FEA">
                <w:rPr>
                  <w:i/>
                  <w:iCs/>
                  <w:noProof/>
                </w:rPr>
                <w:t xml:space="preserve">Afrapportering - Analyse af de økonomiske konsekvenser på området for udsatte børn og unge, </w:t>
              </w:r>
              <w:r w:rsidRPr="006A0FEA">
                <w:rPr>
                  <w:noProof/>
                </w:rPr>
                <w:t>København: Rambøll.</w:t>
              </w:r>
            </w:p>
            <w:p w14:paraId="1EE55C2D" w14:textId="77777777" w:rsidR="006A0FEA" w:rsidRDefault="006A0FEA" w:rsidP="006A0FEA">
              <w:pPr>
                <w:pStyle w:val="Bibliography"/>
                <w:rPr>
                  <w:noProof/>
                  <w:lang w:val="en-GB"/>
                </w:rPr>
              </w:pPr>
              <w:r>
                <w:rPr>
                  <w:noProof/>
                  <w:lang w:val="en-GB"/>
                </w:rPr>
                <w:t xml:space="preserve">Schanzenbach, D., 2014. </w:t>
              </w:r>
              <w:r>
                <w:rPr>
                  <w:i/>
                  <w:iCs/>
                  <w:noProof/>
                  <w:lang w:val="en-GB"/>
                </w:rPr>
                <w:t xml:space="preserve">Does Class Size Matter?, </w:t>
              </w:r>
              <w:r>
                <w:rPr>
                  <w:noProof/>
                  <w:lang w:val="en-GB"/>
                </w:rPr>
                <w:t>Boulder: National Education Policy Senter.</w:t>
              </w:r>
            </w:p>
            <w:p w14:paraId="600DFBDE" w14:textId="77777777" w:rsidR="006A0FEA" w:rsidRPr="006A0FEA" w:rsidRDefault="006A0FEA" w:rsidP="006A0FEA">
              <w:pPr>
                <w:pStyle w:val="Bibliography"/>
                <w:rPr>
                  <w:noProof/>
                </w:rPr>
              </w:pPr>
              <w:r>
                <w:rPr>
                  <w:noProof/>
                  <w:lang w:val="en-GB"/>
                </w:rPr>
                <w:t xml:space="preserve">Sianesi, B. &amp; Reenen, J. V., 2003. The Returns to Education: Macroeconomics. </w:t>
              </w:r>
              <w:r w:rsidRPr="006A0FEA">
                <w:rPr>
                  <w:i/>
                  <w:iCs/>
                  <w:noProof/>
                </w:rPr>
                <w:t>Journal og Economic Surveys</w:t>
              </w:r>
              <w:r w:rsidRPr="006A0FEA">
                <w:rPr>
                  <w:noProof/>
                </w:rPr>
                <w:t>, 26 March, pp. 157-200.</w:t>
              </w:r>
            </w:p>
            <w:p w14:paraId="13846578" w14:textId="77777777" w:rsidR="006A0FEA" w:rsidRPr="006A0FEA" w:rsidRDefault="006A0FEA" w:rsidP="006A0FEA">
              <w:pPr>
                <w:pStyle w:val="Bibliography"/>
                <w:rPr>
                  <w:noProof/>
                </w:rPr>
              </w:pPr>
              <w:r w:rsidRPr="006A0FEA">
                <w:rPr>
                  <w:noProof/>
                </w:rPr>
                <w:t xml:space="preserve">Skatteministeriet, 2013. </w:t>
              </w:r>
              <w:r w:rsidRPr="006A0FEA">
                <w:rPr>
                  <w:i/>
                  <w:iCs/>
                  <w:noProof/>
                </w:rPr>
                <w:t xml:space="preserve">Provenu og metode, </w:t>
              </w:r>
              <w:r w:rsidRPr="006A0FEA">
                <w:rPr>
                  <w:noProof/>
                </w:rPr>
                <w:t>København: Skatteministeriet.</w:t>
              </w:r>
            </w:p>
            <w:p w14:paraId="59355CB2" w14:textId="77777777" w:rsidR="006A0FEA" w:rsidRPr="006A0FEA" w:rsidRDefault="006A0FEA" w:rsidP="006A0FEA">
              <w:pPr>
                <w:pStyle w:val="Bibliography"/>
                <w:rPr>
                  <w:noProof/>
                </w:rPr>
              </w:pPr>
              <w:r w:rsidRPr="006A0FEA">
                <w:rPr>
                  <w:noProof/>
                </w:rPr>
                <w:t xml:space="preserve">Socialstyrelsen, 2016. </w:t>
              </w:r>
              <w:r w:rsidRPr="006A0FEA">
                <w:rPr>
                  <w:i/>
                  <w:iCs/>
                  <w:noProof/>
                </w:rPr>
                <w:t xml:space="preserve">Økonomiske analyser af sociale indsatser, </w:t>
              </w:r>
              <w:r w:rsidRPr="006A0FEA">
                <w:rPr>
                  <w:noProof/>
                </w:rPr>
                <w:t>Odense: Socialstyrelsen.</w:t>
              </w:r>
            </w:p>
            <w:p w14:paraId="6F320A07" w14:textId="77777777" w:rsidR="006A0FEA" w:rsidRPr="006A0FEA" w:rsidRDefault="006A0FEA" w:rsidP="006A0FEA">
              <w:pPr>
                <w:pStyle w:val="Bibliography"/>
                <w:rPr>
                  <w:noProof/>
                </w:rPr>
              </w:pPr>
              <w:r w:rsidRPr="006A0FEA">
                <w:rPr>
                  <w:noProof/>
                </w:rPr>
                <w:t xml:space="preserve">Styrelsen for Institutioner og Uddannelsesstøtte, 2016. </w:t>
              </w:r>
              <w:r w:rsidRPr="006A0FEA">
                <w:rPr>
                  <w:i/>
                  <w:iCs/>
                  <w:noProof/>
                </w:rPr>
                <w:t xml:space="preserve">su.dk. </w:t>
              </w:r>
              <w:r w:rsidRPr="006A0FEA">
                <w:rPr>
                  <w:noProof/>
                </w:rPr>
                <w:t xml:space="preserve">[Online] </w:t>
              </w:r>
              <w:r w:rsidRPr="006A0FEA">
                <w:rPr>
                  <w:noProof/>
                </w:rPr>
                <w:br/>
                <w:t xml:space="preserve">Available at: </w:t>
              </w:r>
              <w:r w:rsidRPr="006A0FEA">
                <w:rPr>
                  <w:noProof/>
                  <w:u w:val="single"/>
                </w:rPr>
                <w:t>http://www.su.dk/su/om-su-til-videregaaende-uddannelser-universitet-journalist-laerer-mv/satser-for-su-til-udeboende-paa-videregaaende-uddannelser/</w:t>
              </w:r>
              <w:r w:rsidRPr="006A0FEA">
                <w:rPr>
                  <w:noProof/>
                </w:rPr>
                <w:br/>
                <w:t>[Accessed 29 December 2017].</w:t>
              </w:r>
            </w:p>
            <w:p w14:paraId="6DB7A7ED" w14:textId="77777777" w:rsidR="006A0FEA" w:rsidRPr="006A0FEA" w:rsidRDefault="006A0FEA" w:rsidP="006A0FEA">
              <w:pPr>
                <w:pStyle w:val="Bibliography"/>
                <w:rPr>
                  <w:noProof/>
                </w:rPr>
              </w:pPr>
              <w:r w:rsidRPr="006A0FEA">
                <w:rPr>
                  <w:noProof/>
                </w:rPr>
                <w:t xml:space="preserve">Uddannelses- og Forskningsministeriet, 2013. </w:t>
              </w:r>
              <w:r w:rsidRPr="006A0FEA">
                <w:rPr>
                  <w:i/>
                  <w:iCs/>
                  <w:noProof/>
                </w:rPr>
                <w:t xml:space="preserve">ufm.dk. </w:t>
              </w:r>
              <w:r w:rsidRPr="006A0FEA">
                <w:rPr>
                  <w:noProof/>
                </w:rPr>
                <w:t xml:space="preserve">[Online] </w:t>
              </w:r>
              <w:r w:rsidRPr="006A0FEA">
                <w:rPr>
                  <w:noProof/>
                </w:rPr>
                <w:br/>
                <w:t xml:space="preserve">Available at: </w:t>
              </w:r>
              <w:r w:rsidRPr="006A0FEA">
                <w:rPr>
                  <w:noProof/>
                  <w:u w:val="single"/>
                </w:rPr>
                <w:t xml:space="preserve">https://ufm.dk/aktuelt/pressemeddelelser/arkiv/2009/ugens-tal-dtu-har-landets-yngste-kandidater/studerendes-alder-som-faerdige-kandidater </w:t>
              </w:r>
              <w:r w:rsidRPr="006A0FEA">
                <w:rPr>
                  <w:noProof/>
                </w:rPr>
                <w:br/>
                <w:t>[Accessed 30 december 2017].</w:t>
              </w:r>
            </w:p>
            <w:p w14:paraId="39B212D4" w14:textId="77777777" w:rsidR="006A0FEA" w:rsidRPr="006A0FEA" w:rsidRDefault="006A0FEA" w:rsidP="006A0FEA">
              <w:pPr>
                <w:pStyle w:val="Bibliography"/>
                <w:rPr>
                  <w:noProof/>
                </w:rPr>
              </w:pPr>
              <w:r w:rsidRPr="006A0FEA">
                <w:rPr>
                  <w:noProof/>
                </w:rPr>
                <w:lastRenderedPageBreak/>
                <w:t xml:space="preserve">Uddannelses- og Forskningsministeriet, 2016. </w:t>
              </w:r>
              <w:r w:rsidRPr="006A0FEA">
                <w:rPr>
                  <w:i/>
                  <w:iCs/>
                  <w:noProof/>
                </w:rPr>
                <w:t xml:space="preserve">ft.dk. </w:t>
              </w:r>
              <w:r w:rsidRPr="006A0FEA">
                <w:rPr>
                  <w:noProof/>
                </w:rPr>
                <w:t xml:space="preserve">[Online] </w:t>
              </w:r>
              <w:r w:rsidRPr="006A0FEA">
                <w:rPr>
                  <w:noProof/>
                </w:rPr>
                <w:br/>
                <w:t xml:space="preserve">Available at: </w:t>
              </w:r>
              <w:r w:rsidRPr="006A0FEA">
                <w:rPr>
                  <w:noProof/>
                  <w:u w:val="single"/>
                </w:rPr>
                <w:t>http://www.ft.dk/samling/20151/almdel/ufu/spm/229/svar/1339485/1659050.pdf</w:t>
              </w:r>
              <w:r w:rsidRPr="006A0FEA">
                <w:rPr>
                  <w:noProof/>
                </w:rPr>
                <w:br/>
                <w:t>[Accessed 29 december 2017].</w:t>
              </w:r>
            </w:p>
            <w:p w14:paraId="7F891FDC" w14:textId="77777777" w:rsidR="006A0FEA" w:rsidRPr="006A0FEA" w:rsidRDefault="006A0FEA" w:rsidP="006A0FEA">
              <w:pPr>
                <w:pStyle w:val="Bibliography"/>
                <w:rPr>
                  <w:noProof/>
                </w:rPr>
              </w:pPr>
              <w:r w:rsidRPr="006A0FEA">
                <w:rPr>
                  <w:noProof/>
                </w:rPr>
                <w:t xml:space="preserve">Undervisningsministeriet, 2017. </w:t>
              </w:r>
              <w:r w:rsidRPr="006A0FEA">
                <w:rPr>
                  <w:i/>
                  <w:iCs/>
                  <w:noProof/>
                </w:rPr>
                <w:t xml:space="preserve">Profilmodellen 2016, </w:t>
              </w:r>
              <w:r w:rsidRPr="006A0FEA">
                <w:rPr>
                  <w:noProof/>
                </w:rPr>
                <w:t>København: Undervisningsministeriet.</w:t>
              </w:r>
            </w:p>
            <w:p w14:paraId="4A983AC0" w14:textId="77777777" w:rsidR="006A0FEA" w:rsidRDefault="006A0FEA" w:rsidP="006A0FEA">
              <w:pPr>
                <w:pStyle w:val="Bibliography"/>
                <w:rPr>
                  <w:noProof/>
                  <w:lang w:val="en-GB"/>
                </w:rPr>
              </w:pPr>
              <w:r w:rsidRPr="006A0FEA">
                <w:rPr>
                  <w:noProof/>
                </w:rPr>
                <w:t xml:space="preserve">Vegas, E. &amp; Coffin, C., 2015. </w:t>
              </w:r>
              <w:r>
                <w:rPr>
                  <w:noProof/>
                  <w:lang w:val="en-GB"/>
                </w:rPr>
                <w:t xml:space="preserve">When Education Expenditure Matters: An Emperical Analysis of Recent International Data. </w:t>
              </w:r>
              <w:r>
                <w:rPr>
                  <w:i/>
                  <w:iCs/>
                  <w:noProof/>
                  <w:lang w:val="en-GB"/>
                </w:rPr>
                <w:t>Comparative Education Review</w:t>
              </w:r>
              <w:r>
                <w:rPr>
                  <w:noProof/>
                  <w:lang w:val="en-GB"/>
                </w:rPr>
                <w:t>, pp. 289-304.</w:t>
              </w:r>
            </w:p>
            <w:p w14:paraId="28BBEDB9" w14:textId="77777777" w:rsidR="00C73A61" w:rsidRDefault="00C73A61" w:rsidP="006A0FEA">
              <w:pPr>
                <w:rPr>
                  <w:rFonts w:ascii="Verdana" w:hAnsi="Verdana"/>
                </w:rPr>
              </w:pPr>
              <w:r w:rsidRPr="00C71DCE">
                <w:rPr>
                  <w:rFonts w:ascii="Verdana" w:hAnsi="Verdana"/>
                  <w:b/>
                  <w:bCs/>
                </w:rPr>
                <w:fldChar w:fldCharType="end"/>
              </w:r>
            </w:p>
          </w:sdtContent>
        </w:sdt>
      </w:sdtContent>
    </w:sdt>
    <w:p w14:paraId="4C9B8C93" w14:textId="77777777" w:rsidR="00C73A61" w:rsidRDefault="00C73A61" w:rsidP="00C73A61">
      <w:pPr>
        <w:rPr>
          <w:rFonts w:ascii="Verdana" w:hAnsi="Verdana"/>
        </w:rPr>
      </w:pPr>
      <w:r>
        <w:rPr>
          <w:rFonts w:ascii="Verdana" w:hAnsi="Verdana"/>
        </w:rPr>
        <w:br w:type="page"/>
      </w:r>
    </w:p>
    <w:p w14:paraId="066CD05A" w14:textId="77777777" w:rsidR="00C73A61" w:rsidRPr="00C73A61" w:rsidRDefault="00C73A61" w:rsidP="00C73A61">
      <w:pPr>
        <w:pStyle w:val="Heading2"/>
        <w:rPr>
          <w:rFonts w:ascii="Verdana" w:hAnsi="Verdana"/>
          <w:b w:val="0"/>
          <w:color w:val="auto"/>
          <w:sz w:val="22"/>
          <w:szCs w:val="22"/>
          <w:lang w:val="da-DK"/>
        </w:rPr>
      </w:pPr>
      <w:bookmarkStart w:id="1" w:name="_Toc488679080"/>
      <w:r w:rsidRPr="00C73A61">
        <w:rPr>
          <w:rFonts w:ascii="Verdana" w:hAnsi="Verdana"/>
          <w:color w:val="auto"/>
          <w:sz w:val="22"/>
          <w:szCs w:val="22"/>
          <w:lang w:val="da-DK"/>
        </w:rPr>
        <w:lastRenderedPageBreak/>
        <w:t>Bilag 1: Hvordan opstår (positive) dynamiske effekter af offentlig indgriben?</w:t>
      </w:r>
      <w:bookmarkEnd w:id="1"/>
    </w:p>
    <w:p w14:paraId="1781C438" w14:textId="77777777" w:rsidR="00C73A61" w:rsidRDefault="00C73A61" w:rsidP="00C73A61">
      <w:pPr>
        <w:pStyle w:val="NoSpacing"/>
        <w:rPr>
          <w:rFonts w:ascii="Verdana" w:hAnsi="Verdana"/>
        </w:rPr>
      </w:pPr>
      <w:r>
        <w:rPr>
          <w:rFonts w:ascii="Verdana" w:hAnsi="Verdana"/>
        </w:rPr>
        <w:t xml:space="preserve">På baggrund af økonomisk teori </w:t>
      </w:r>
      <w:r w:rsidR="00CD0C1B">
        <w:rPr>
          <w:rFonts w:ascii="Verdana" w:hAnsi="Verdana"/>
        </w:rPr>
        <w:t>kan der opstilles en generel</w:t>
      </w:r>
      <w:r>
        <w:rPr>
          <w:rFonts w:ascii="Verdana" w:hAnsi="Verdana"/>
        </w:rPr>
        <w:t xml:space="preserve"> forklaring på, hvordan offentlige indgriben, kan skabe mere </w:t>
      </w:r>
      <w:proofErr w:type="spellStart"/>
      <w:r>
        <w:rPr>
          <w:rFonts w:ascii="Verdana" w:hAnsi="Verdana"/>
        </w:rPr>
        <w:t>efficiente</w:t>
      </w:r>
      <w:proofErr w:type="spellEnd"/>
      <w:r>
        <w:rPr>
          <w:rFonts w:ascii="Verdana" w:hAnsi="Verdana"/>
        </w:rPr>
        <w:t xml:space="preserve"> </w:t>
      </w:r>
      <w:proofErr w:type="spellStart"/>
      <w:r>
        <w:rPr>
          <w:rFonts w:ascii="Verdana" w:hAnsi="Verdana"/>
        </w:rPr>
        <w:t>outcomes</w:t>
      </w:r>
      <w:proofErr w:type="spellEnd"/>
      <w:r>
        <w:rPr>
          <w:rFonts w:ascii="Verdana" w:hAnsi="Verdana"/>
        </w:rPr>
        <w:t xml:space="preserve">, end hvis økonomien var overladt til markedskræfterne alene. Formålet er at opstille et mere principielt argument for, at det overhovedet giver mening at undersøge, hvorvidt der er positive effekter forbundet med offentlige udgifter som eksempelvis uddannelse. </w:t>
      </w:r>
    </w:p>
    <w:p w14:paraId="685162AC" w14:textId="77777777" w:rsidR="00C73A61" w:rsidRDefault="00C73A61" w:rsidP="00C73A61">
      <w:pPr>
        <w:pStyle w:val="NoSpacing"/>
        <w:rPr>
          <w:rFonts w:ascii="Verdana" w:hAnsi="Verdana"/>
        </w:rPr>
      </w:pPr>
    </w:p>
    <w:p w14:paraId="15434185" w14:textId="6BC1C02F" w:rsidR="00C73A61" w:rsidRDefault="00C73A61" w:rsidP="00C73A61">
      <w:pPr>
        <w:pStyle w:val="NoSpacing"/>
        <w:rPr>
          <w:rFonts w:ascii="Verdana" w:hAnsi="Verdana"/>
          <w:lang w:val="en-US"/>
        </w:rPr>
      </w:pPr>
      <w:r>
        <w:rPr>
          <w:rFonts w:ascii="Verdana" w:hAnsi="Verdana"/>
        </w:rPr>
        <w:t xml:space="preserve">Et udgangspunkt for besvarelsen kan være det klassiske eksempel om basal infrastruktur, som også </w:t>
      </w:r>
      <w:proofErr w:type="spellStart"/>
      <w:r>
        <w:rPr>
          <w:rFonts w:ascii="Verdana" w:hAnsi="Verdana"/>
        </w:rPr>
        <w:t>Barro</w:t>
      </w:r>
      <w:proofErr w:type="spellEnd"/>
      <w:r>
        <w:rPr>
          <w:rFonts w:ascii="Verdana" w:hAnsi="Verdana"/>
        </w:rPr>
        <w:t xml:space="preserve"> anvender </w:t>
      </w:r>
      <w:sdt>
        <w:sdtPr>
          <w:rPr>
            <w:rFonts w:ascii="Verdana" w:hAnsi="Verdana"/>
          </w:rPr>
          <w:id w:val="14359976"/>
          <w:citation/>
        </w:sdtPr>
        <w:sdtEndPr/>
        <w:sdtContent>
          <w:r>
            <w:rPr>
              <w:rFonts w:ascii="Verdana" w:hAnsi="Verdana"/>
            </w:rPr>
            <w:fldChar w:fldCharType="begin"/>
          </w:r>
          <w:r>
            <w:rPr>
              <w:rFonts w:ascii="Verdana" w:hAnsi="Verdana"/>
            </w:rPr>
            <w:instrText xml:space="preserve"> CITATION Bar90 \l 1030 </w:instrText>
          </w:r>
          <w:r>
            <w:rPr>
              <w:rFonts w:ascii="Verdana" w:hAnsi="Verdana"/>
            </w:rPr>
            <w:fldChar w:fldCharType="separate"/>
          </w:r>
          <w:r w:rsidR="006A0FEA" w:rsidRPr="006A0FEA">
            <w:rPr>
              <w:rFonts w:ascii="Verdana" w:hAnsi="Verdana"/>
              <w:noProof/>
            </w:rPr>
            <w:t>(Barro, 1990)</w:t>
          </w:r>
          <w:r>
            <w:rPr>
              <w:rFonts w:ascii="Verdana" w:hAnsi="Verdana"/>
            </w:rPr>
            <w:fldChar w:fldCharType="end"/>
          </w:r>
        </w:sdtContent>
      </w:sdt>
      <w:r>
        <w:rPr>
          <w:rFonts w:ascii="Verdana" w:hAnsi="Verdana"/>
        </w:rPr>
        <w:t xml:space="preserve">. Her er der tale om fælles/offentlige goder, der på grund af manglende </w:t>
      </w:r>
      <w:proofErr w:type="spellStart"/>
      <w:r>
        <w:rPr>
          <w:rFonts w:ascii="Verdana" w:hAnsi="Verdana"/>
        </w:rPr>
        <w:t>ekskluderbarhed</w:t>
      </w:r>
      <w:proofErr w:type="spellEnd"/>
      <w:r>
        <w:rPr>
          <w:rFonts w:ascii="Verdana" w:hAnsi="Verdana"/>
        </w:rPr>
        <w:t xml:space="preserve">, ikke ville blive udbygget uden offentlig indgriben. </w:t>
      </w:r>
      <w:proofErr w:type="spellStart"/>
      <w:r>
        <w:rPr>
          <w:rFonts w:ascii="Verdana" w:hAnsi="Verdana"/>
          <w:lang w:val="en-US"/>
        </w:rPr>
        <w:t>Som</w:t>
      </w:r>
      <w:proofErr w:type="spellEnd"/>
      <w:r>
        <w:rPr>
          <w:rFonts w:ascii="Verdana" w:hAnsi="Verdana"/>
          <w:lang w:val="en-US"/>
        </w:rPr>
        <w:t xml:space="preserve"> Jean-Marc Fournier </w:t>
      </w:r>
      <w:proofErr w:type="spellStart"/>
      <w:r>
        <w:rPr>
          <w:rFonts w:ascii="Verdana" w:hAnsi="Verdana"/>
          <w:lang w:val="en-US"/>
        </w:rPr>
        <w:t>anfører</w:t>
      </w:r>
      <w:proofErr w:type="spellEnd"/>
      <w:r>
        <w:rPr>
          <w:rFonts w:ascii="Verdana" w:hAnsi="Verdana"/>
          <w:lang w:val="en-US"/>
        </w:rPr>
        <w:t xml:space="preserve"> </w:t>
      </w:r>
      <w:proofErr w:type="spellStart"/>
      <w:r>
        <w:rPr>
          <w:rFonts w:ascii="Verdana" w:hAnsi="Verdana"/>
          <w:lang w:val="en-US"/>
        </w:rPr>
        <w:t>i</w:t>
      </w:r>
      <w:proofErr w:type="spellEnd"/>
      <w:r>
        <w:rPr>
          <w:rFonts w:ascii="Verdana" w:hAnsi="Verdana"/>
          <w:lang w:val="en-US"/>
        </w:rPr>
        <w:t xml:space="preserve"> OECD Working </w:t>
      </w:r>
      <w:proofErr w:type="gramStart"/>
      <w:r>
        <w:rPr>
          <w:rFonts w:ascii="Verdana" w:hAnsi="Verdana"/>
          <w:lang w:val="en-US"/>
        </w:rPr>
        <w:t>paper ”</w:t>
      </w:r>
      <w:proofErr w:type="gramEnd"/>
      <w:r>
        <w:rPr>
          <w:rFonts w:ascii="Verdana" w:hAnsi="Verdana"/>
          <w:i/>
          <w:noProof/>
          <w:lang w:val="en-US"/>
        </w:rPr>
        <w:t>The Positive Effect of Public Investement on Potential Growth</w:t>
      </w:r>
      <w:r>
        <w:rPr>
          <w:rFonts w:ascii="Verdana" w:hAnsi="Verdana"/>
          <w:noProof/>
          <w:lang w:val="en-US"/>
        </w:rPr>
        <w:t>”</w:t>
      </w:r>
      <w:r>
        <w:rPr>
          <w:rFonts w:ascii="Verdana" w:hAnsi="Verdana"/>
          <w:lang w:val="en-US"/>
        </w:rPr>
        <w:t xml:space="preserve"> </w:t>
      </w:r>
      <w:proofErr w:type="spellStart"/>
      <w:r>
        <w:rPr>
          <w:rFonts w:ascii="Verdana" w:hAnsi="Verdana"/>
          <w:lang w:val="en-US"/>
        </w:rPr>
        <w:t>fra</w:t>
      </w:r>
      <w:proofErr w:type="spellEnd"/>
      <w:r>
        <w:rPr>
          <w:rFonts w:ascii="Verdana" w:hAnsi="Verdana"/>
          <w:lang w:val="en-US"/>
        </w:rPr>
        <w:t xml:space="preserve"> 2016:</w:t>
      </w:r>
    </w:p>
    <w:p w14:paraId="50354769" w14:textId="77777777" w:rsidR="00C73A61" w:rsidRDefault="00C73A61" w:rsidP="00C73A61">
      <w:pPr>
        <w:pStyle w:val="NoSpacing"/>
        <w:rPr>
          <w:rFonts w:ascii="Verdana" w:hAnsi="Verdana"/>
          <w:lang w:val="en-US"/>
        </w:rPr>
      </w:pPr>
    </w:p>
    <w:p w14:paraId="2701548C" w14:textId="3FC7A87B" w:rsidR="00C73A61" w:rsidRPr="00856F09" w:rsidRDefault="00C73A61" w:rsidP="00C73A61">
      <w:pPr>
        <w:pStyle w:val="NoSpacing"/>
        <w:ind w:left="1304"/>
        <w:rPr>
          <w:rFonts w:ascii="Verdana" w:hAnsi="Verdana"/>
          <w:i/>
        </w:rPr>
      </w:pPr>
      <w:r>
        <w:rPr>
          <w:rFonts w:ascii="Verdana" w:hAnsi="Verdana"/>
          <w:i/>
          <w:lang w:val="en-US"/>
        </w:rPr>
        <w:t xml:space="preserve">“This corresponds to cases in which the social return is above the private return, as investigated by Arrow (1962) in the case of production of knowledge, which is a public good that can benefit all. Similarly, </w:t>
      </w:r>
      <w:proofErr w:type="spellStart"/>
      <w:r>
        <w:rPr>
          <w:rFonts w:ascii="Verdana" w:hAnsi="Verdana"/>
          <w:i/>
          <w:lang w:val="en-US"/>
        </w:rPr>
        <w:t>Romer</w:t>
      </w:r>
      <w:proofErr w:type="spellEnd"/>
      <w:r>
        <w:rPr>
          <w:rFonts w:ascii="Verdana" w:hAnsi="Verdana"/>
          <w:i/>
          <w:lang w:val="en-US"/>
        </w:rPr>
        <w:t xml:space="preserve"> (1986) shows that in the presence of positive externalities, government intervention can lead to welfare gains.” </w:t>
      </w:r>
      <w:sdt>
        <w:sdtPr>
          <w:rPr>
            <w:rFonts w:ascii="Verdana" w:hAnsi="Verdana"/>
            <w:i/>
            <w:lang w:val="en-US"/>
          </w:rPr>
          <w:id w:val="620043319"/>
          <w:citation/>
        </w:sdtPr>
        <w:sdtEndPr/>
        <w:sdtContent>
          <w:r>
            <w:rPr>
              <w:rFonts w:ascii="Verdana" w:hAnsi="Verdana"/>
              <w:i/>
              <w:lang w:val="en-US"/>
            </w:rPr>
            <w:fldChar w:fldCharType="begin"/>
          </w:r>
          <w:r>
            <w:rPr>
              <w:rFonts w:ascii="Verdana" w:hAnsi="Verdana"/>
              <w:i/>
              <w:lang w:val="en-US"/>
            </w:rPr>
            <w:instrText xml:space="preserve"> CITATION Fou16 \l 1030 </w:instrText>
          </w:r>
          <w:r>
            <w:rPr>
              <w:rFonts w:ascii="Verdana" w:hAnsi="Verdana"/>
              <w:i/>
              <w:lang w:val="en-US"/>
            </w:rPr>
            <w:fldChar w:fldCharType="separate"/>
          </w:r>
          <w:r w:rsidR="006A0FEA" w:rsidRPr="006A0FEA">
            <w:rPr>
              <w:rFonts w:ascii="Verdana" w:hAnsi="Verdana"/>
              <w:noProof/>
            </w:rPr>
            <w:t>(Fournier, 2016)</w:t>
          </w:r>
          <w:r>
            <w:rPr>
              <w:rFonts w:ascii="Verdana" w:hAnsi="Verdana"/>
              <w:i/>
              <w:lang w:val="en-US"/>
            </w:rPr>
            <w:fldChar w:fldCharType="end"/>
          </w:r>
        </w:sdtContent>
      </w:sdt>
    </w:p>
    <w:p w14:paraId="79154AAF" w14:textId="77777777" w:rsidR="00C73A61" w:rsidRPr="00856F09" w:rsidRDefault="00C73A61" w:rsidP="00C73A61">
      <w:pPr>
        <w:pStyle w:val="NoSpacing"/>
        <w:rPr>
          <w:rFonts w:ascii="Verdana" w:hAnsi="Verdana"/>
        </w:rPr>
      </w:pPr>
    </w:p>
    <w:p w14:paraId="40DF14E2" w14:textId="6D57B207" w:rsidR="00C73A61" w:rsidRDefault="00C73A61" w:rsidP="00C73A61">
      <w:pPr>
        <w:pStyle w:val="NoSpacing"/>
        <w:rPr>
          <w:rFonts w:ascii="Verdana" w:hAnsi="Verdana"/>
        </w:rPr>
      </w:pPr>
      <w:r>
        <w:rPr>
          <w:rFonts w:ascii="Verdana" w:hAnsi="Verdana"/>
        </w:rPr>
        <w:t xml:space="preserve">Samme argumentation anvendes af De Økonomiske Råds Formandskab i det seneste udkast til forårsrapport, hvor de netop angiver tilstedeværelsen af markedsfejl (enten på grund af positive </w:t>
      </w:r>
      <w:proofErr w:type="spellStart"/>
      <w:r>
        <w:rPr>
          <w:rFonts w:ascii="Verdana" w:hAnsi="Verdana"/>
        </w:rPr>
        <w:t>eksternaliteter</w:t>
      </w:r>
      <w:proofErr w:type="spellEnd"/>
      <w:r>
        <w:rPr>
          <w:rFonts w:ascii="Verdana" w:hAnsi="Verdana"/>
        </w:rPr>
        <w:t xml:space="preserve">, mangelfuld information eller som følge af offentlige goder), som et argument for offentlig indgriben </w:t>
      </w:r>
      <w:sdt>
        <w:sdtPr>
          <w:rPr>
            <w:rFonts w:ascii="Verdana" w:hAnsi="Verdana"/>
          </w:rPr>
          <w:id w:val="1450517825"/>
          <w:citation/>
        </w:sdtPr>
        <w:sdtEndPr/>
        <w:sdtContent>
          <w:r>
            <w:rPr>
              <w:rFonts w:ascii="Verdana" w:hAnsi="Verdana"/>
            </w:rPr>
            <w:fldChar w:fldCharType="begin"/>
          </w:r>
          <w:r>
            <w:rPr>
              <w:rFonts w:ascii="Verdana" w:hAnsi="Verdana"/>
            </w:rPr>
            <w:instrText xml:space="preserve"> CITATION DeØ17 \l 1030 </w:instrText>
          </w:r>
          <w:r>
            <w:rPr>
              <w:rFonts w:ascii="Verdana" w:hAnsi="Verdana"/>
            </w:rPr>
            <w:fldChar w:fldCharType="separate"/>
          </w:r>
          <w:r w:rsidR="006A0FEA" w:rsidRPr="006A0FEA">
            <w:rPr>
              <w:rFonts w:ascii="Verdana" w:hAnsi="Verdana"/>
              <w:noProof/>
            </w:rPr>
            <w:t>(De Økonomiske Råd, 2017)</w:t>
          </w:r>
          <w:r>
            <w:rPr>
              <w:rFonts w:ascii="Verdana" w:hAnsi="Verdana"/>
            </w:rPr>
            <w:fldChar w:fldCharType="end"/>
          </w:r>
        </w:sdtContent>
      </w:sdt>
      <w:r>
        <w:rPr>
          <w:rFonts w:ascii="Verdana" w:hAnsi="Verdana"/>
        </w:rPr>
        <w:t xml:space="preserve">. </w:t>
      </w:r>
    </w:p>
    <w:p w14:paraId="4930FEF0" w14:textId="77777777" w:rsidR="00C73A61" w:rsidRDefault="00C73A61" w:rsidP="00C73A61">
      <w:pPr>
        <w:pStyle w:val="NoSpacing"/>
        <w:rPr>
          <w:rFonts w:ascii="Verdana" w:hAnsi="Verdana"/>
        </w:rPr>
      </w:pPr>
    </w:p>
    <w:p w14:paraId="77B1190C" w14:textId="331E8A28" w:rsidR="00C73A61" w:rsidRDefault="00C73A61" w:rsidP="00C73A61">
      <w:pPr>
        <w:pStyle w:val="NoSpacing"/>
        <w:rPr>
          <w:rFonts w:ascii="Verdana" w:hAnsi="Verdana"/>
        </w:rPr>
      </w:pPr>
      <w:r>
        <w:rPr>
          <w:rFonts w:ascii="Verdana" w:hAnsi="Verdana"/>
        </w:rPr>
        <w:t>I praksis angiver vismændene desuden to konkrete kanaler, hvorigennem effekten fra det offentlige forbrug kan opstå: Via produktiviteten og udbuddet af arbejdskraft (</w:t>
      </w:r>
      <w:proofErr w:type="spellStart"/>
      <w:r>
        <w:rPr>
          <w:rFonts w:ascii="Verdana" w:hAnsi="Verdana"/>
        </w:rPr>
        <w:t>ibid</w:t>
      </w:r>
      <w:proofErr w:type="spellEnd"/>
      <w:r>
        <w:rPr>
          <w:rFonts w:ascii="Verdana" w:hAnsi="Verdana"/>
        </w:rPr>
        <w:t xml:space="preserve">). Principielt kan man dog også argumentere for, at der er én yderligere kanal, nemlig nedbringelsen af </w:t>
      </w:r>
      <w:r>
        <w:rPr>
          <w:rFonts w:ascii="Verdana" w:hAnsi="Verdana"/>
          <w:i/>
        </w:rPr>
        <w:t xml:space="preserve">fremtidige </w:t>
      </w:r>
      <w:r>
        <w:rPr>
          <w:rFonts w:ascii="Verdana" w:hAnsi="Verdana"/>
        </w:rPr>
        <w:t xml:space="preserve">offentlige udgifter – særligt det individuelle, offentlige forbrug samt overførsler. Virkningen opstår, fordi eksempelvis præventive tiltag, der udføres i dag, nedbringer behovet for fremtidige overførsler og individuelt offentligt forbrug. Eksempler på sådanne udgiftstyper findes indenfor både social- og uddannelsesområdet. Der er gennemført en række analyser, som netop undersøger virkningen på de offentlige finanser i fremtiden af forskellige politiktiltag. Se eksempelvis </w:t>
      </w:r>
      <w:sdt>
        <w:sdtPr>
          <w:rPr>
            <w:rFonts w:ascii="Verdana" w:hAnsi="Verdana"/>
          </w:rPr>
          <w:id w:val="-1742636615"/>
          <w:citation/>
        </w:sdtPr>
        <w:sdtEndPr/>
        <w:sdtContent>
          <w:r>
            <w:rPr>
              <w:rFonts w:ascii="Verdana" w:hAnsi="Verdana"/>
            </w:rPr>
            <w:fldChar w:fldCharType="begin"/>
          </w:r>
          <w:r>
            <w:rPr>
              <w:rFonts w:ascii="Verdana" w:hAnsi="Verdana"/>
            </w:rPr>
            <w:instrText xml:space="preserve"> CITATION Ram13 \l 1030 </w:instrText>
          </w:r>
          <w:r>
            <w:rPr>
              <w:rFonts w:ascii="Verdana" w:hAnsi="Verdana"/>
            </w:rPr>
            <w:fldChar w:fldCharType="separate"/>
          </w:r>
          <w:r w:rsidR="006A0FEA" w:rsidRPr="006A0FEA">
            <w:rPr>
              <w:rFonts w:ascii="Verdana" w:hAnsi="Verdana"/>
              <w:noProof/>
            </w:rPr>
            <w:t>(Rambøll og SFI, 2013)</w:t>
          </w:r>
          <w:r>
            <w:rPr>
              <w:rFonts w:ascii="Verdana" w:hAnsi="Verdana"/>
            </w:rPr>
            <w:fldChar w:fldCharType="end"/>
          </w:r>
        </w:sdtContent>
      </w:sdt>
      <w:r>
        <w:rPr>
          <w:rFonts w:ascii="Verdana" w:hAnsi="Verdana"/>
        </w:rPr>
        <w:t xml:space="preserve"> eller </w:t>
      </w:r>
      <w:sdt>
        <w:sdtPr>
          <w:rPr>
            <w:rFonts w:ascii="Verdana" w:hAnsi="Verdana"/>
          </w:rPr>
          <w:id w:val="1074242373"/>
          <w:citation/>
        </w:sdtPr>
        <w:sdtEndPr/>
        <w:sdtContent>
          <w:r>
            <w:rPr>
              <w:rFonts w:ascii="Verdana" w:hAnsi="Verdana"/>
            </w:rPr>
            <w:fldChar w:fldCharType="begin"/>
          </w:r>
          <w:r>
            <w:rPr>
              <w:rFonts w:ascii="Verdana" w:hAnsi="Verdana"/>
            </w:rPr>
            <w:instrText xml:space="preserve"> CITATION Ram12 \l 1030 </w:instrText>
          </w:r>
          <w:r>
            <w:rPr>
              <w:rFonts w:ascii="Verdana" w:hAnsi="Verdana"/>
            </w:rPr>
            <w:fldChar w:fldCharType="separate"/>
          </w:r>
          <w:r w:rsidR="006A0FEA" w:rsidRPr="006A0FEA">
            <w:rPr>
              <w:rFonts w:ascii="Verdana" w:hAnsi="Verdana"/>
              <w:noProof/>
            </w:rPr>
            <w:t>(Rambøll, 2012)</w:t>
          </w:r>
          <w:r>
            <w:rPr>
              <w:rFonts w:ascii="Verdana" w:hAnsi="Verdana"/>
            </w:rPr>
            <w:fldChar w:fldCharType="end"/>
          </w:r>
        </w:sdtContent>
      </w:sdt>
      <w:r>
        <w:rPr>
          <w:rFonts w:ascii="Verdana" w:hAnsi="Verdana"/>
        </w:rPr>
        <w:t xml:space="preserve">, som analyserer hhv. Hjemløsestrategien fra 2009 og indsatser målrettede udsatte børn og unge. Disse analyser bygger på den implicitte antagelse, at der findes en dynamisk sammenhæng mellem nutidige og fremtidige offentlige udgifter. </w:t>
      </w:r>
    </w:p>
    <w:p w14:paraId="601AD5B9" w14:textId="1043C3CD" w:rsidR="00C73A61" w:rsidRDefault="00C73A61" w:rsidP="00C73A61">
      <w:pPr>
        <w:pStyle w:val="NoSpacing"/>
        <w:rPr>
          <w:rFonts w:ascii="Verdana" w:hAnsi="Verdana"/>
        </w:rPr>
      </w:pPr>
      <w:r>
        <w:rPr>
          <w:rFonts w:ascii="Verdana" w:hAnsi="Verdana"/>
        </w:rPr>
        <w:lastRenderedPageBreak/>
        <w:t xml:space="preserve">En korrekt opregning af effekterne af offentligt forbrug bør inkludere disse virkninger. Det vil kræve, at de offentlige udgifter i mindre grad antages at være givet eksogent (eller mekanisk følge den demografiske udvikling) i forbindelse med økonomiske fremskrivninger og i de økonomiske modeller generelt. Denne tilgang er i øvrigt i overensstemmelse med den forståelse, der ligger til grund for udviklingen af Den Socialøkonomiske Investeringsmodel (SØM). Udviklingen er igangsat som en del af satspuljen og drives af Social- og Indenrigsministeriet. Se eksempelvis </w:t>
      </w:r>
      <w:r>
        <w:rPr>
          <w:rFonts w:ascii="Verdana" w:hAnsi="Verdana"/>
          <w:i/>
        </w:rPr>
        <w:t>”Den Socialøkonomiske investeringsmodel (SØM) - teknisk indhold”</w:t>
      </w:r>
      <w:r>
        <w:rPr>
          <w:rFonts w:ascii="Verdana" w:hAnsi="Verdana"/>
        </w:rPr>
        <w:t xml:space="preserve"> </w:t>
      </w:r>
      <w:sdt>
        <w:sdtPr>
          <w:rPr>
            <w:rFonts w:ascii="Verdana" w:hAnsi="Verdana"/>
          </w:rPr>
          <w:id w:val="-1832436662"/>
          <w:citation/>
        </w:sdtPr>
        <w:sdtEndPr/>
        <w:sdtContent>
          <w:r>
            <w:rPr>
              <w:rFonts w:ascii="Verdana" w:hAnsi="Verdana"/>
            </w:rPr>
            <w:fldChar w:fldCharType="begin"/>
          </w:r>
          <w:r>
            <w:rPr>
              <w:rFonts w:ascii="Verdana" w:hAnsi="Verdana"/>
            </w:rPr>
            <w:instrText xml:space="preserve"> CITATION KOR16 \l 1030 </w:instrText>
          </w:r>
          <w:r>
            <w:rPr>
              <w:rFonts w:ascii="Verdana" w:hAnsi="Verdana"/>
            </w:rPr>
            <w:fldChar w:fldCharType="separate"/>
          </w:r>
          <w:r w:rsidR="006A0FEA" w:rsidRPr="006A0FEA">
            <w:rPr>
              <w:rFonts w:ascii="Verdana" w:hAnsi="Verdana"/>
              <w:noProof/>
            </w:rPr>
            <w:t>(KORA og Incentives, 2016)</w:t>
          </w:r>
          <w:r>
            <w:rPr>
              <w:rFonts w:ascii="Verdana" w:hAnsi="Verdana"/>
            </w:rPr>
            <w:fldChar w:fldCharType="end"/>
          </w:r>
        </w:sdtContent>
      </w:sdt>
      <w:r>
        <w:rPr>
          <w:rFonts w:ascii="Verdana" w:hAnsi="Verdana"/>
        </w:rPr>
        <w:t xml:space="preserve"> for teknisk baggrund for denne model.</w:t>
      </w:r>
    </w:p>
    <w:p w14:paraId="0085F77F" w14:textId="77777777" w:rsidR="00C73A61" w:rsidRDefault="00C73A61" w:rsidP="00C73A61">
      <w:pPr>
        <w:pStyle w:val="NoSpacing"/>
        <w:rPr>
          <w:rFonts w:ascii="Verdana" w:hAnsi="Verdana"/>
        </w:rPr>
      </w:pPr>
    </w:p>
    <w:p w14:paraId="2E747C15" w14:textId="1DDE5331" w:rsidR="00C73A61" w:rsidRDefault="00C73A61" w:rsidP="00C73A61">
      <w:pPr>
        <w:pStyle w:val="NoSpacing"/>
        <w:rPr>
          <w:rFonts w:ascii="Verdana" w:hAnsi="Verdana"/>
        </w:rPr>
      </w:pPr>
      <w:r>
        <w:rPr>
          <w:rFonts w:ascii="Verdana" w:hAnsi="Verdana"/>
        </w:rPr>
        <w:t>Opsummerende forestiller vi os altså, at offentligt forbrug kan have positive, dynamiske effekter via tre kanaler: produktivitetseffekter, udbuddet af arbejdskraft og endelig påvirkning på fremtidige offentlige udgifter. Effekterne opstår på grund af markedsfejl, som bland</w:t>
      </w:r>
      <w:r w:rsidR="00AA35EE">
        <w:rPr>
          <w:rFonts w:ascii="Verdana" w:hAnsi="Verdana"/>
        </w:rPr>
        <w:t>t</w:t>
      </w:r>
      <w:r>
        <w:rPr>
          <w:rFonts w:ascii="Verdana" w:hAnsi="Verdana"/>
        </w:rPr>
        <w:t xml:space="preserve"> andet kan skyldes positive </w:t>
      </w:r>
      <w:proofErr w:type="spellStart"/>
      <w:r>
        <w:rPr>
          <w:rFonts w:ascii="Verdana" w:hAnsi="Verdana"/>
        </w:rPr>
        <w:t>eksternaliteter</w:t>
      </w:r>
      <w:proofErr w:type="spellEnd"/>
      <w:r>
        <w:rPr>
          <w:rFonts w:ascii="Verdana" w:hAnsi="Verdana"/>
        </w:rPr>
        <w:t>, mangelfuld information eller som følge af offentlige goder. Det er dog langt fra altid muligt at analysere effekten igennem alle kanaler. I indeværende analyse fokuseres der alene på produktivitetseffekterne, hvilket, alt andet lige, vil trække analysen i retning af et konservativt skøn over effekterne af uddannelsesinvesteringerne.</w:t>
      </w:r>
    </w:p>
    <w:p w14:paraId="45C90D44" w14:textId="77777777" w:rsidR="00C73A61" w:rsidRPr="00C71DCE" w:rsidRDefault="00C73A61" w:rsidP="00C73A61"/>
    <w:p w14:paraId="2F894184" w14:textId="227A28AA" w:rsidR="00DA052E" w:rsidRPr="006759E9" w:rsidRDefault="00DA052E" w:rsidP="006759E9">
      <w:pPr>
        <w:spacing w:after="0" w:line="240" w:lineRule="auto"/>
      </w:pPr>
    </w:p>
    <w:sectPr w:rsidR="00DA052E" w:rsidRPr="006759E9" w:rsidSect="005C1063">
      <w:headerReference w:type="default" r:id="rId13"/>
      <w:footerReference w:type="default" r:id="rId14"/>
      <w:pgSz w:w="11900" w:h="16840"/>
      <w:pgMar w:top="2268" w:right="1531" w:bottom="2268" w:left="1418" w:header="794"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0E130" w14:textId="77777777" w:rsidR="005D7B12" w:rsidRDefault="005D7B12" w:rsidP="00C40D3B">
      <w:pPr>
        <w:spacing w:after="0"/>
      </w:pPr>
      <w:r>
        <w:separator/>
      </w:r>
    </w:p>
  </w:endnote>
  <w:endnote w:type="continuationSeparator" w:id="0">
    <w:p w14:paraId="1374927E" w14:textId="77777777" w:rsidR="005D7B12" w:rsidRDefault="005D7B12" w:rsidP="00C40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terFace">
    <w:altName w:val="Corbel"/>
    <w:charset w:val="00"/>
    <w:family w:val="swiss"/>
    <w:pitch w:val="variable"/>
    <w:sig w:usb0="00000001"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InterFace Bold">
    <w:altName w:val="Times New Roman"/>
    <w:panose1 w:val="00000000000000000000"/>
    <w:charset w:val="00"/>
    <w:family w:val="roman"/>
    <w:notTrueType/>
    <w:pitch w:val="default"/>
  </w:font>
  <w:font w:name="InterFace XBold">
    <w:altName w:val="Franklin Gothic Heavy"/>
    <w:charset w:val="00"/>
    <w:family w:val="swiss"/>
    <w:pitch w:val="variable"/>
    <w:sig w:usb0="00000001" w:usb1="4000205B"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5172" w14:textId="77777777" w:rsidR="005D7B12" w:rsidRPr="00FC070B" w:rsidRDefault="005D7B12">
    <w:pPr>
      <w:pStyle w:val="Footer"/>
      <w:rPr>
        <w:color w:val="E54120"/>
        <w:sz w:val="18"/>
        <w:szCs w:val="18"/>
      </w:rPr>
    </w:pPr>
    <w:r>
      <w:rPr>
        <w:noProof/>
        <w:lang w:val="en-US"/>
      </w:rPr>
      <mc:AlternateContent>
        <mc:Choice Requires="wps">
          <w:drawing>
            <wp:anchor distT="4294967295" distB="4294967295" distL="114300" distR="114300" simplePos="0" relativeHeight="251656704" behindDoc="1" locked="0" layoutInCell="1" allowOverlap="1" wp14:anchorId="742A57EB" wp14:editId="177BB7C0">
              <wp:simplePos x="0" y="0"/>
              <wp:positionH relativeFrom="column">
                <wp:posOffset>0</wp:posOffset>
              </wp:positionH>
              <wp:positionV relativeFrom="paragraph">
                <wp:posOffset>-137161</wp:posOffset>
              </wp:positionV>
              <wp:extent cx="6172200" cy="0"/>
              <wp:effectExtent l="0" t="0" r="25400" b="2540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DC2A19"/>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CA0D8C" id="Lige forbindels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pt" to="4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" strokecolor="#dc2a19" strokeweight=".5pt">
              <o:lock v:ext="edit" shapetype="f"/>
            </v:line>
          </w:pict>
        </mc:Fallback>
      </mc:AlternateContent>
    </w:r>
    <w:r>
      <w:rPr>
        <w:noProof/>
        <w:lang w:val="en-US"/>
      </w:rPr>
      <w:drawing>
        <wp:anchor distT="0" distB="0" distL="114300" distR="114300" simplePos="0" relativeHeight="251657728" behindDoc="1" locked="0" layoutInCell="1" allowOverlap="1" wp14:anchorId="00451174" wp14:editId="74BB344D">
          <wp:simplePos x="0" y="0"/>
          <wp:positionH relativeFrom="column">
            <wp:posOffset>5448935</wp:posOffset>
          </wp:positionH>
          <wp:positionV relativeFrom="paragraph">
            <wp:posOffset>-64770</wp:posOffset>
          </wp:positionV>
          <wp:extent cx="709930" cy="261620"/>
          <wp:effectExtent l="0" t="0" r="1270" b="0"/>
          <wp:wrapNone/>
          <wp:docPr id="1" name="Billede 6" descr="Beskrivelse: Macintosh HD:Users:valentin:Dropbox (Signifly ApS):office-ting:assets:cev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eskrivelse: Macintosh HD:Users:valentin:Dropbox (Signifly ApS):office-ting:assets:ceve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261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FC070B">
      <w:rPr>
        <w:color w:val="E54120"/>
        <w:sz w:val="18"/>
        <w:szCs w:val="18"/>
      </w:rPr>
      <w:t>Cevea</w:t>
    </w:r>
    <w:proofErr w:type="spellEnd"/>
    <w:r w:rsidRPr="00FC070B">
      <w:rPr>
        <w:color w:val="E54120"/>
        <w:sz w:val="18"/>
        <w:szCs w:val="18"/>
      </w:rPr>
      <w:t xml:space="preserve">     |</w:t>
    </w:r>
    <w:proofErr w:type="gramEnd"/>
    <w:r w:rsidRPr="00FC070B">
      <w:rPr>
        <w:color w:val="E54120"/>
        <w:sz w:val="18"/>
        <w:szCs w:val="18"/>
      </w:rPr>
      <w:t xml:space="preserve">     Vesterbrogade 124B, 3. Sal t.v.     </w:t>
    </w:r>
    <w:proofErr w:type="gramStart"/>
    <w:r w:rsidRPr="00FC070B">
      <w:rPr>
        <w:color w:val="E54120"/>
        <w:sz w:val="18"/>
        <w:szCs w:val="18"/>
      </w:rPr>
      <w:t>I     1620</w:t>
    </w:r>
    <w:proofErr w:type="gramEnd"/>
    <w:r w:rsidRPr="00FC070B">
      <w:rPr>
        <w:color w:val="E54120"/>
        <w:sz w:val="18"/>
        <w:szCs w:val="18"/>
      </w:rPr>
      <w:t xml:space="preserve"> København V     |     Tlf. 33126800     |     cevea@cevea.dk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6A1C0" w14:textId="77777777" w:rsidR="005D7B12" w:rsidRDefault="005D7B12" w:rsidP="00C40D3B">
      <w:pPr>
        <w:spacing w:after="0"/>
      </w:pPr>
      <w:r>
        <w:separator/>
      </w:r>
    </w:p>
  </w:footnote>
  <w:footnote w:type="continuationSeparator" w:id="0">
    <w:p w14:paraId="04E3B10B" w14:textId="77777777" w:rsidR="005D7B12" w:rsidRDefault="005D7B12" w:rsidP="00C40D3B">
      <w:pPr>
        <w:spacing w:after="0"/>
      </w:pPr>
      <w:r>
        <w:continuationSeparator/>
      </w:r>
    </w:p>
  </w:footnote>
  <w:footnote w:id="1">
    <w:p w14:paraId="388D2AAF" w14:textId="778D61F5" w:rsidR="005D7B12" w:rsidRDefault="005D7B12">
      <w:pPr>
        <w:pStyle w:val="FootnoteText"/>
      </w:pPr>
      <w:r>
        <w:rPr>
          <w:rStyle w:val="FootnoteReference"/>
        </w:rPr>
        <w:footnoteRef/>
      </w:r>
      <w:r>
        <w:t xml:space="preserve"> 2015 er det senest år, hvor der findes tal i det anvendte dataserier, derfor er udregningen foretaget for dette år.</w:t>
      </w:r>
    </w:p>
  </w:footnote>
  <w:footnote w:id="2">
    <w:p w14:paraId="5D9BD4BE" w14:textId="4E5BD995" w:rsidR="005D7B12" w:rsidRDefault="005D7B12">
      <w:pPr>
        <w:pStyle w:val="FootnoteText"/>
      </w:pPr>
      <w:r>
        <w:rPr>
          <w:rStyle w:val="FootnoteReference"/>
        </w:rPr>
        <w:footnoteRef/>
      </w:r>
      <w:r>
        <w:t xml:space="preserve"> Der er i ovenstående beregning ikke taget højde for eventuelle yderligere omkostninger, som en sænkelse af klassekvotienten vil medføre. Dette vil i de mindre klasser eksempelvis være forøgede omkostninger til aflønning af pædagogisk personale, som i et vist omfang dækker en del af undervisningen.  </w:t>
      </w:r>
    </w:p>
  </w:footnote>
  <w:footnote w:id="3">
    <w:p w14:paraId="0EFF1189" w14:textId="65BD69CE" w:rsidR="005D7B12" w:rsidRDefault="005D7B12">
      <w:pPr>
        <w:pStyle w:val="FootnoteText"/>
      </w:pPr>
      <w:r>
        <w:rPr>
          <w:rStyle w:val="FootnoteReference"/>
        </w:rPr>
        <w:footnoteRef/>
      </w:r>
      <w:r>
        <w:t xml:space="preserve"> Der er tale om en hypotetisk udregning, idet den beregnede gevinst forudsætter fuld indfasning, dvs. at samtlige alderstrin på arbejdsmarkedet skal have gået i en klasse med 10 pct. lavere klassekvotient, førend den fulde produktivitetseffekt på 1,33 pct. ville være opnået. Beregningen har således alene til formål at vise den potentielle produktivitetseffekt, som samfundet som en helhed ville kunne opnå på sigt, hvis klassekvotienten varigt blev nedsat med 10 pct.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586"/>
    </w:tblGrid>
    <w:tr w:rsidR="005D7B12" w:rsidRPr="00DF749F" w14:paraId="01BD38AD" w14:textId="77777777" w:rsidTr="00DF749F">
      <w:tc>
        <w:tcPr>
          <w:tcW w:w="586" w:type="dxa"/>
          <w:shd w:val="clear" w:color="auto" w:fill="auto"/>
          <w:vAlign w:val="center"/>
        </w:tcPr>
        <w:p w14:paraId="76785762" w14:textId="5992E098" w:rsidR="005D7B12" w:rsidRPr="00DF749F" w:rsidRDefault="005D7B12" w:rsidP="00DF749F">
          <w:pPr>
            <w:pStyle w:val="Header"/>
            <w:ind w:left="-284"/>
            <w:jc w:val="center"/>
            <w:rPr>
              <w:rStyle w:val="PageNumber"/>
              <w:sz w:val="16"/>
              <w:szCs w:val="16"/>
            </w:rPr>
          </w:pPr>
          <w:r>
            <w:rPr>
              <w:noProof/>
              <w:lang w:val="en-US"/>
            </w:rPr>
            <mc:AlternateContent>
              <mc:Choice Requires="wps">
                <w:drawing>
                  <wp:anchor distT="0" distB="0" distL="114300" distR="114300" simplePos="0" relativeHeight="251655680" behindDoc="1" locked="0" layoutInCell="1" allowOverlap="1" wp14:anchorId="0C698225" wp14:editId="46B2716D">
                    <wp:simplePos x="0" y="0"/>
                    <wp:positionH relativeFrom="column">
                      <wp:posOffset>-2540</wp:posOffset>
                    </wp:positionH>
                    <wp:positionV relativeFrom="paragraph">
                      <wp:posOffset>-34925</wp:posOffset>
                    </wp:positionV>
                    <wp:extent cx="205105" cy="197485"/>
                    <wp:effectExtent l="0" t="0" r="0" b="571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97485"/>
                            </a:xfrm>
                            <a:prstGeom prst="ellipse">
                              <a:avLst/>
                            </a:prstGeom>
                            <a:solidFill>
                              <a:srgbClr val="D9D9D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A4D6104" id="Ellipse 9" o:spid="_x0000_s1026" style="position:absolute;margin-left:-.2pt;margin-top:-2.75pt;width:16.15pt;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" fillcolor="#d9d9d9" stroked="f">
                    <v:path arrowok="t"/>
                  </v:oval>
                </w:pict>
              </mc:Fallback>
            </mc:AlternateContent>
          </w:r>
          <w:r>
            <w:rPr>
              <w:noProof/>
              <w:lang w:val="en-US"/>
            </w:rPr>
            <w:drawing>
              <wp:anchor distT="0" distB="0" distL="114300" distR="114300" simplePos="0" relativeHeight="251660800" behindDoc="0" locked="0" layoutInCell="1" allowOverlap="1" wp14:anchorId="46B62DFA" wp14:editId="560E9F51">
                <wp:simplePos x="0" y="0"/>
                <wp:positionH relativeFrom="margin">
                  <wp:posOffset>5254625</wp:posOffset>
                </wp:positionH>
                <wp:positionV relativeFrom="margin">
                  <wp:posOffset>-203835</wp:posOffset>
                </wp:positionV>
                <wp:extent cx="1028065" cy="431800"/>
                <wp:effectExtent l="0" t="0" r="0" b="0"/>
                <wp:wrapNone/>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294967295" distB="4294967295" distL="114300" distR="114300" simplePos="0" relativeHeight="251658752" behindDoc="1" locked="0" layoutInCell="1" allowOverlap="1" wp14:anchorId="0A02DBEB" wp14:editId="2ABB72A8">
                    <wp:simplePos x="0" y="0"/>
                    <wp:positionH relativeFrom="column">
                      <wp:posOffset>0</wp:posOffset>
                    </wp:positionH>
                    <wp:positionV relativeFrom="paragraph">
                      <wp:posOffset>231139</wp:posOffset>
                    </wp:positionV>
                    <wp:extent cx="6286500" cy="0"/>
                    <wp:effectExtent l="0" t="0" r="12700" b="2540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19050" cap="flat" cmpd="sng" algn="ctr">
                              <a:solidFill>
                                <a:srgbClr val="DC2A19"/>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5BE950" id="Lige forbindels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2pt" to="4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" strokecolor="#dc2a19" strokeweight="1.5pt">
                    <o:lock v:ext="edit" shapetype="f"/>
                  </v:line>
                </w:pict>
              </mc:Fallback>
            </mc:AlternateContent>
          </w:r>
          <w:r w:rsidRPr="00DF749F">
            <w:rPr>
              <w:rStyle w:val="PageNumber"/>
              <w:sz w:val="16"/>
              <w:szCs w:val="16"/>
            </w:rPr>
            <w:fldChar w:fldCharType="begin"/>
          </w:r>
          <w:r w:rsidRPr="00DF749F">
            <w:rPr>
              <w:rStyle w:val="PageNumber"/>
              <w:sz w:val="16"/>
              <w:szCs w:val="16"/>
            </w:rPr>
            <w:instrText xml:space="preserve"> PAGE </w:instrText>
          </w:r>
          <w:r w:rsidRPr="00DF749F">
            <w:rPr>
              <w:rStyle w:val="PageNumber"/>
              <w:sz w:val="16"/>
              <w:szCs w:val="16"/>
            </w:rPr>
            <w:fldChar w:fldCharType="separate"/>
          </w:r>
          <w:r w:rsidR="00AA5878">
            <w:rPr>
              <w:rStyle w:val="PageNumber"/>
              <w:noProof/>
              <w:sz w:val="16"/>
              <w:szCs w:val="16"/>
            </w:rPr>
            <w:t>18</w:t>
          </w:r>
          <w:r w:rsidRPr="00DF749F">
            <w:rPr>
              <w:rStyle w:val="PageNumber"/>
              <w:sz w:val="16"/>
              <w:szCs w:val="16"/>
            </w:rPr>
            <w:fldChar w:fldCharType="end"/>
          </w:r>
        </w:p>
      </w:tc>
    </w:tr>
  </w:tbl>
  <w:p w14:paraId="5333F1E1" w14:textId="77777777" w:rsidR="005D7B12" w:rsidRPr="00CB1CF4" w:rsidRDefault="005D7B12">
    <w:pPr>
      <w:pStyle w:val="Header"/>
      <w:rPr>
        <w:sz w:val="16"/>
        <w:szCs w:val="16"/>
        <w:lang w:val="en-US"/>
      </w:rPr>
    </w:pPr>
    <w:r w:rsidRPr="00CB1CF4">
      <w:rPr>
        <w:rStyle w:val="PageNumbe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66C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90276"/>
    <w:multiLevelType w:val="hybridMultilevel"/>
    <w:tmpl w:val="6BE214C6"/>
    <w:lvl w:ilvl="0" w:tplc="A02894F2">
      <w:start w:val="2"/>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C01D0E"/>
    <w:multiLevelType w:val="hybridMultilevel"/>
    <w:tmpl w:val="AEDE0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BE6370"/>
    <w:multiLevelType w:val="hybridMultilevel"/>
    <w:tmpl w:val="DF6014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64669"/>
    <w:multiLevelType w:val="hybridMultilevel"/>
    <w:tmpl w:val="5F409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0E4364"/>
    <w:multiLevelType w:val="hybridMultilevel"/>
    <w:tmpl w:val="1CBE02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0A6A60"/>
    <w:multiLevelType w:val="hybridMultilevel"/>
    <w:tmpl w:val="5EA8D8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8A0DA3"/>
    <w:multiLevelType w:val="hybridMultilevel"/>
    <w:tmpl w:val="C4E28BAA"/>
    <w:lvl w:ilvl="0" w:tplc="486250E4">
      <w:start w:val="9"/>
      <w:numFmt w:val="bullet"/>
      <w:lvlText w:val="-"/>
      <w:lvlJc w:val="left"/>
      <w:pPr>
        <w:ind w:left="720" w:hanging="360"/>
      </w:pPr>
      <w:rPr>
        <w:rFonts w:ascii="InterFace" w:eastAsia="Times New Roman" w:hAnsi="InterFace"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21C6A07"/>
    <w:multiLevelType w:val="hybridMultilevel"/>
    <w:tmpl w:val="9E7206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8996388"/>
    <w:multiLevelType w:val="multilevel"/>
    <w:tmpl w:val="10944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323B55"/>
    <w:multiLevelType w:val="hybridMultilevel"/>
    <w:tmpl w:val="F134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D7178"/>
    <w:multiLevelType w:val="hybridMultilevel"/>
    <w:tmpl w:val="B05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27177"/>
    <w:multiLevelType w:val="hybridMultilevel"/>
    <w:tmpl w:val="7D742BEE"/>
    <w:lvl w:ilvl="0" w:tplc="760E94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1068"/>
    <w:multiLevelType w:val="multilevel"/>
    <w:tmpl w:val="10944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1B7752"/>
    <w:multiLevelType w:val="hybridMultilevel"/>
    <w:tmpl w:val="A6E4EC00"/>
    <w:lvl w:ilvl="0" w:tplc="9FDE9BF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3C00287"/>
    <w:multiLevelType w:val="hybridMultilevel"/>
    <w:tmpl w:val="D20E09EC"/>
    <w:lvl w:ilvl="0" w:tplc="E94EDC4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0CA4676"/>
    <w:multiLevelType w:val="hybridMultilevel"/>
    <w:tmpl w:val="A3FA4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A9F6908"/>
    <w:multiLevelType w:val="hybridMultilevel"/>
    <w:tmpl w:val="672ED13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8"/>
  </w:num>
  <w:num w:numId="5">
    <w:abstractNumId w:val="10"/>
  </w:num>
  <w:num w:numId="6">
    <w:abstractNumId w:val="12"/>
  </w:num>
  <w:num w:numId="7">
    <w:abstractNumId w:val="4"/>
  </w:num>
  <w:num w:numId="8">
    <w:abstractNumId w:val="7"/>
  </w:num>
  <w:num w:numId="9">
    <w:abstractNumId w:val="3"/>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9"/>
  </w:num>
  <w:num w:numId="15">
    <w:abstractNumId w:val="17"/>
  </w:num>
  <w:num w:numId="16">
    <w:abstractNumId w:val="15"/>
  </w:num>
  <w:num w:numId="17">
    <w:abstractNumId w:val="6"/>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arke Dahl Mogensen">
    <w15:presenceInfo w15:providerId="AD" w15:userId="S-1-5-21-707668431-165822835-3536676738-31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0"/>
    <w:rsid w:val="00001DA0"/>
    <w:rsid w:val="00004E71"/>
    <w:rsid w:val="00016AD7"/>
    <w:rsid w:val="00021315"/>
    <w:rsid w:val="00031EFC"/>
    <w:rsid w:val="00034AD3"/>
    <w:rsid w:val="000404BD"/>
    <w:rsid w:val="00054CF7"/>
    <w:rsid w:val="00057009"/>
    <w:rsid w:val="000577C8"/>
    <w:rsid w:val="00070C41"/>
    <w:rsid w:val="0009148B"/>
    <w:rsid w:val="00091962"/>
    <w:rsid w:val="00095B20"/>
    <w:rsid w:val="00097198"/>
    <w:rsid w:val="000A1A72"/>
    <w:rsid w:val="000A64BE"/>
    <w:rsid w:val="000B628A"/>
    <w:rsid w:val="000C014B"/>
    <w:rsid w:val="000C0800"/>
    <w:rsid w:val="000C19FB"/>
    <w:rsid w:val="000C1B18"/>
    <w:rsid w:val="000C7122"/>
    <w:rsid w:val="000C76D3"/>
    <w:rsid w:val="000D3E29"/>
    <w:rsid w:val="000E3614"/>
    <w:rsid w:val="000E663C"/>
    <w:rsid w:val="00100519"/>
    <w:rsid w:val="00112831"/>
    <w:rsid w:val="0011423B"/>
    <w:rsid w:val="0011667C"/>
    <w:rsid w:val="0011727A"/>
    <w:rsid w:val="001203AE"/>
    <w:rsid w:val="00122520"/>
    <w:rsid w:val="00126F98"/>
    <w:rsid w:val="001360BE"/>
    <w:rsid w:val="00154053"/>
    <w:rsid w:val="001554D0"/>
    <w:rsid w:val="0016000A"/>
    <w:rsid w:val="0016091D"/>
    <w:rsid w:val="001610EA"/>
    <w:rsid w:val="0017251E"/>
    <w:rsid w:val="00181F54"/>
    <w:rsid w:val="00182437"/>
    <w:rsid w:val="00185124"/>
    <w:rsid w:val="00193E83"/>
    <w:rsid w:val="00195579"/>
    <w:rsid w:val="001961FE"/>
    <w:rsid w:val="001A1E5C"/>
    <w:rsid w:val="001A5043"/>
    <w:rsid w:val="001C7DF0"/>
    <w:rsid w:val="001D5473"/>
    <w:rsid w:val="001E32A9"/>
    <w:rsid w:val="001E4A21"/>
    <w:rsid w:val="001E7D25"/>
    <w:rsid w:val="001F18EF"/>
    <w:rsid w:val="001F400F"/>
    <w:rsid w:val="001F6CB4"/>
    <w:rsid w:val="0020309E"/>
    <w:rsid w:val="00211EEB"/>
    <w:rsid w:val="00220AF7"/>
    <w:rsid w:val="002257EF"/>
    <w:rsid w:val="0023179D"/>
    <w:rsid w:val="00256D5B"/>
    <w:rsid w:val="00257599"/>
    <w:rsid w:val="002617DD"/>
    <w:rsid w:val="00263A8F"/>
    <w:rsid w:val="002667AC"/>
    <w:rsid w:val="0027012B"/>
    <w:rsid w:val="002706F3"/>
    <w:rsid w:val="0027446C"/>
    <w:rsid w:val="00281E59"/>
    <w:rsid w:val="002830B0"/>
    <w:rsid w:val="00293886"/>
    <w:rsid w:val="0029392C"/>
    <w:rsid w:val="00294709"/>
    <w:rsid w:val="0029624F"/>
    <w:rsid w:val="002A05AE"/>
    <w:rsid w:val="002A7AE3"/>
    <w:rsid w:val="002B2705"/>
    <w:rsid w:val="002B4F3A"/>
    <w:rsid w:val="002C03E5"/>
    <w:rsid w:val="002D128D"/>
    <w:rsid w:val="002D1CA0"/>
    <w:rsid w:val="002D2AB6"/>
    <w:rsid w:val="002D2C10"/>
    <w:rsid w:val="002D3684"/>
    <w:rsid w:val="002D526A"/>
    <w:rsid w:val="002E1103"/>
    <w:rsid w:val="002F3E4D"/>
    <w:rsid w:val="002F4602"/>
    <w:rsid w:val="002F4981"/>
    <w:rsid w:val="002F5570"/>
    <w:rsid w:val="002F6F56"/>
    <w:rsid w:val="0031645B"/>
    <w:rsid w:val="00320995"/>
    <w:rsid w:val="0032169C"/>
    <w:rsid w:val="0032448C"/>
    <w:rsid w:val="0033361F"/>
    <w:rsid w:val="00341F68"/>
    <w:rsid w:val="00357334"/>
    <w:rsid w:val="0036321C"/>
    <w:rsid w:val="003642EF"/>
    <w:rsid w:val="00365A2A"/>
    <w:rsid w:val="00366C1F"/>
    <w:rsid w:val="00371D8E"/>
    <w:rsid w:val="00372EE4"/>
    <w:rsid w:val="0037733F"/>
    <w:rsid w:val="00380F68"/>
    <w:rsid w:val="00390F45"/>
    <w:rsid w:val="00395AB1"/>
    <w:rsid w:val="00396535"/>
    <w:rsid w:val="003A68DF"/>
    <w:rsid w:val="003B06D8"/>
    <w:rsid w:val="003B10A9"/>
    <w:rsid w:val="003B367B"/>
    <w:rsid w:val="003B439E"/>
    <w:rsid w:val="003C0B39"/>
    <w:rsid w:val="003C19F6"/>
    <w:rsid w:val="003D13FC"/>
    <w:rsid w:val="003D34B2"/>
    <w:rsid w:val="003D431E"/>
    <w:rsid w:val="003E608C"/>
    <w:rsid w:val="0041016C"/>
    <w:rsid w:val="004109A3"/>
    <w:rsid w:val="004111B0"/>
    <w:rsid w:val="00430A63"/>
    <w:rsid w:val="00442B9D"/>
    <w:rsid w:val="00447CA8"/>
    <w:rsid w:val="00452C50"/>
    <w:rsid w:val="00455880"/>
    <w:rsid w:val="004605DA"/>
    <w:rsid w:val="0046071C"/>
    <w:rsid w:val="0046376D"/>
    <w:rsid w:val="00467554"/>
    <w:rsid w:val="00474E96"/>
    <w:rsid w:val="00475D78"/>
    <w:rsid w:val="00477929"/>
    <w:rsid w:val="00480AC3"/>
    <w:rsid w:val="004908F2"/>
    <w:rsid w:val="004918C3"/>
    <w:rsid w:val="00492664"/>
    <w:rsid w:val="00492717"/>
    <w:rsid w:val="004970C3"/>
    <w:rsid w:val="004A09B9"/>
    <w:rsid w:val="004C0169"/>
    <w:rsid w:val="004C563F"/>
    <w:rsid w:val="004C6F0D"/>
    <w:rsid w:val="004C7B0D"/>
    <w:rsid w:val="004D07A0"/>
    <w:rsid w:val="004D3E5F"/>
    <w:rsid w:val="004D4C87"/>
    <w:rsid w:val="004F2815"/>
    <w:rsid w:val="004F64D2"/>
    <w:rsid w:val="005118AC"/>
    <w:rsid w:val="005155FF"/>
    <w:rsid w:val="00520034"/>
    <w:rsid w:val="005214B2"/>
    <w:rsid w:val="00531B92"/>
    <w:rsid w:val="00534FBA"/>
    <w:rsid w:val="005359FA"/>
    <w:rsid w:val="00536B57"/>
    <w:rsid w:val="00550573"/>
    <w:rsid w:val="00551346"/>
    <w:rsid w:val="00554553"/>
    <w:rsid w:val="00554A1D"/>
    <w:rsid w:val="005573FE"/>
    <w:rsid w:val="0056310A"/>
    <w:rsid w:val="0058386C"/>
    <w:rsid w:val="00586E84"/>
    <w:rsid w:val="00592011"/>
    <w:rsid w:val="00593ED3"/>
    <w:rsid w:val="00594303"/>
    <w:rsid w:val="00594B3C"/>
    <w:rsid w:val="0059560E"/>
    <w:rsid w:val="005A0C38"/>
    <w:rsid w:val="005A22DF"/>
    <w:rsid w:val="005A35DB"/>
    <w:rsid w:val="005B3359"/>
    <w:rsid w:val="005C1063"/>
    <w:rsid w:val="005C60AC"/>
    <w:rsid w:val="005D1002"/>
    <w:rsid w:val="005D1C70"/>
    <w:rsid w:val="005D7B12"/>
    <w:rsid w:val="005E15C5"/>
    <w:rsid w:val="005F189C"/>
    <w:rsid w:val="006018DD"/>
    <w:rsid w:val="00607A81"/>
    <w:rsid w:val="00613ED1"/>
    <w:rsid w:val="006147E1"/>
    <w:rsid w:val="00616415"/>
    <w:rsid w:val="00620009"/>
    <w:rsid w:val="0062011B"/>
    <w:rsid w:val="00623C3A"/>
    <w:rsid w:val="006262D6"/>
    <w:rsid w:val="006263BF"/>
    <w:rsid w:val="00631FD2"/>
    <w:rsid w:val="006326AB"/>
    <w:rsid w:val="00634A65"/>
    <w:rsid w:val="0063541E"/>
    <w:rsid w:val="00652921"/>
    <w:rsid w:val="00653B57"/>
    <w:rsid w:val="006568BA"/>
    <w:rsid w:val="00656EAD"/>
    <w:rsid w:val="00663A34"/>
    <w:rsid w:val="0066513A"/>
    <w:rsid w:val="0067068A"/>
    <w:rsid w:val="00672DD3"/>
    <w:rsid w:val="006759E9"/>
    <w:rsid w:val="00682C06"/>
    <w:rsid w:val="00685404"/>
    <w:rsid w:val="00686297"/>
    <w:rsid w:val="006965D5"/>
    <w:rsid w:val="006A0FEA"/>
    <w:rsid w:val="006A6CFB"/>
    <w:rsid w:val="006D72E6"/>
    <w:rsid w:val="006F1237"/>
    <w:rsid w:val="006F1D50"/>
    <w:rsid w:val="006F52A6"/>
    <w:rsid w:val="006F627B"/>
    <w:rsid w:val="00701016"/>
    <w:rsid w:val="0070337C"/>
    <w:rsid w:val="007175FD"/>
    <w:rsid w:val="00717A44"/>
    <w:rsid w:val="007205BC"/>
    <w:rsid w:val="007208DC"/>
    <w:rsid w:val="00720F4F"/>
    <w:rsid w:val="007211CF"/>
    <w:rsid w:val="00724202"/>
    <w:rsid w:val="00726538"/>
    <w:rsid w:val="00731680"/>
    <w:rsid w:val="00733988"/>
    <w:rsid w:val="0073647E"/>
    <w:rsid w:val="0075450C"/>
    <w:rsid w:val="007562BF"/>
    <w:rsid w:val="007565DE"/>
    <w:rsid w:val="00762286"/>
    <w:rsid w:val="007640C0"/>
    <w:rsid w:val="007658AC"/>
    <w:rsid w:val="00767FB5"/>
    <w:rsid w:val="00782A58"/>
    <w:rsid w:val="00782F4B"/>
    <w:rsid w:val="007916D6"/>
    <w:rsid w:val="00791BE5"/>
    <w:rsid w:val="00794750"/>
    <w:rsid w:val="007952DD"/>
    <w:rsid w:val="007978C6"/>
    <w:rsid w:val="007A643A"/>
    <w:rsid w:val="007A6998"/>
    <w:rsid w:val="007B19F9"/>
    <w:rsid w:val="007B2C13"/>
    <w:rsid w:val="007B3240"/>
    <w:rsid w:val="007B4043"/>
    <w:rsid w:val="007C7EB2"/>
    <w:rsid w:val="007D0A51"/>
    <w:rsid w:val="007D406C"/>
    <w:rsid w:val="007D41B9"/>
    <w:rsid w:val="007D6414"/>
    <w:rsid w:val="007D7DEA"/>
    <w:rsid w:val="007E2E40"/>
    <w:rsid w:val="007F0D13"/>
    <w:rsid w:val="007F652B"/>
    <w:rsid w:val="00802E00"/>
    <w:rsid w:val="00806975"/>
    <w:rsid w:val="0081038D"/>
    <w:rsid w:val="00816B09"/>
    <w:rsid w:val="00821FBE"/>
    <w:rsid w:val="00823529"/>
    <w:rsid w:val="00825803"/>
    <w:rsid w:val="00825AF2"/>
    <w:rsid w:val="00833ED8"/>
    <w:rsid w:val="008400E4"/>
    <w:rsid w:val="00842C2F"/>
    <w:rsid w:val="00847DC5"/>
    <w:rsid w:val="00851E5A"/>
    <w:rsid w:val="00855C3B"/>
    <w:rsid w:val="00856F09"/>
    <w:rsid w:val="0086085E"/>
    <w:rsid w:val="00862C72"/>
    <w:rsid w:val="00867971"/>
    <w:rsid w:val="008741DB"/>
    <w:rsid w:val="00883A1E"/>
    <w:rsid w:val="00885BBF"/>
    <w:rsid w:val="00897D9E"/>
    <w:rsid w:val="008A035D"/>
    <w:rsid w:val="008A3E73"/>
    <w:rsid w:val="008B0DFA"/>
    <w:rsid w:val="008B1993"/>
    <w:rsid w:val="008B2161"/>
    <w:rsid w:val="008C1CB6"/>
    <w:rsid w:val="008D139C"/>
    <w:rsid w:val="008D5FAA"/>
    <w:rsid w:val="008D61BC"/>
    <w:rsid w:val="008D7659"/>
    <w:rsid w:val="008E1C39"/>
    <w:rsid w:val="008E20EA"/>
    <w:rsid w:val="008E2582"/>
    <w:rsid w:val="008E3B23"/>
    <w:rsid w:val="008E79AD"/>
    <w:rsid w:val="009113D6"/>
    <w:rsid w:val="00914E8D"/>
    <w:rsid w:val="00916D91"/>
    <w:rsid w:val="009222A2"/>
    <w:rsid w:val="009331CF"/>
    <w:rsid w:val="00946CE6"/>
    <w:rsid w:val="00962BCE"/>
    <w:rsid w:val="0096339B"/>
    <w:rsid w:val="009710CD"/>
    <w:rsid w:val="0097270D"/>
    <w:rsid w:val="00973B28"/>
    <w:rsid w:val="00975F88"/>
    <w:rsid w:val="0098553E"/>
    <w:rsid w:val="009866E4"/>
    <w:rsid w:val="00993F90"/>
    <w:rsid w:val="009964CB"/>
    <w:rsid w:val="009A20D7"/>
    <w:rsid w:val="009A2552"/>
    <w:rsid w:val="009A374B"/>
    <w:rsid w:val="009A7F01"/>
    <w:rsid w:val="009B4777"/>
    <w:rsid w:val="009B57CA"/>
    <w:rsid w:val="009B59B2"/>
    <w:rsid w:val="009C2752"/>
    <w:rsid w:val="009C307D"/>
    <w:rsid w:val="009C35BA"/>
    <w:rsid w:val="009C3B20"/>
    <w:rsid w:val="009D0046"/>
    <w:rsid w:val="009D6109"/>
    <w:rsid w:val="009E0ABF"/>
    <w:rsid w:val="009F5713"/>
    <w:rsid w:val="00A00C53"/>
    <w:rsid w:val="00A0588F"/>
    <w:rsid w:val="00A07C78"/>
    <w:rsid w:val="00A07D8E"/>
    <w:rsid w:val="00A22772"/>
    <w:rsid w:val="00A22C4B"/>
    <w:rsid w:val="00A27B03"/>
    <w:rsid w:val="00A30B0C"/>
    <w:rsid w:val="00A31B72"/>
    <w:rsid w:val="00A34E66"/>
    <w:rsid w:val="00A4120E"/>
    <w:rsid w:val="00A42709"/>
    <w:rsid w:val="00A43D40"/>
    <w:rsid w:val="00A47BDD"/>
    <w:rsid w:val="00A52242"/>
    <w:rsid w:val="00A65878"/>
    <w:rsid w:val="00A73C47"/>
    <w:rsid w:val="00A74593"/>
    <w:rsid w:val="00A77B3C"/>
    <w:rsid w:val="00A82EFF"/>
    <w:rsid w:val="00A94385"/>
    <w:rsid w:val="00A966F7"/>
    <w:rsid w:val="00AA32FA"/>
    <w:rsid w:val="00AA35EE"/>
    <w:rsid w:val="00AA5878"/>
    <w:rsid w:val="00AB201F"/>
    <w:rsid w:val="00AB647E"/>
    <w:rsid w:val="00AC446E"/>
    <w:rsid w:val="00AD17D9"/>
    <w:rsid w:val="00AD186C"/>
    <w:rsid w:val="00AD4850"/>
    <w:rsid w:val="00AF27F3"/>
    <w:rsid w:val="00AF2E6E"/>
    <w:rsid w:val="00AF3E98"/>
    <w:rsid w:val="00AF6164"/>
    <w:rsid w:val="00B05BF7"/>
    <w:rsid w:val="00B05C8B"/>
    <w:rsid w:val="00B11F7F"/>
    <w:rsid w:val="00B13E43"/>
    <w:rsid w:val="00B17003"/>
    <w:rsid w:val="00B21992"/>
    <w:rsid w:val="00B21DC3"/>
    <w:rsid w:val="00B21F76"/>
    <w:rsid w:val="00B225DD"/>
    <w:rsid w:val="00B32831"/>
    <w:rsid w:val="00B36F7F"/>
    <w:rsid w:val="00B40F2C"/>
    <w:rsid w:val="00B415FD"/>
    <w:rsid w:val="00B432F1"/>
    <w:rsid w:val="00B45A6F"/>
    <w:rsid w:val="00B463B7"/>
    <w:rsid w:val="00B46C21"/>
    <w:rsid w:val="00B50332"/>
    <w:rsid w:val="00B659A0"/>
    <w:rsid w:val="00B80D13"/>
    <w:rsid w:val="00B87EB2"/>
    <w:rsid w:val="00B965B5"/>
    <w:rsid w:val="00B9696C"/>
    <w:rsid w:val="00BA1FBF"/>
    <w:rsid w:val="00BB33CF"/>
    <w:rsid w:val="00BB461E"/>
    <w:rsid w:val="00BB7E42"/>
    <w:rsid w:val="00BC4DFF"/>
    <w:rsid w:val="00BD34A9"/>
    <w:rsid w:val="00BD365C"/>
    <w:rsid w:val="00BE1F08"/>
    <w:rsid w:val="00BE4FFE"/>
    <w:rsid w:val="00BE5537"/>
    <w:rsid w:val="00BE6CE6"/>
    <w:rsid w:val="00C029C3"/>
    <w:rsid w:val="00C05C51"/>
    <w:rsid w:val="00C06B04"/>
    <w:rsid w:val="00C11F0B"/>
    <w:rsid w:val="00C163B5"/>
    <w:rsid w:val="00C248EE"/>
    <w:rsid w:val="00C25156"/>
    <w:rsid w:val="00C27969"/>
    <w:rsid w:val="00C35CE1"/>
    <w:rsid w:val="00C40D3B"/>
    <w:rsid w:val="00C5142F"/>
    <w:rsid w:val="00C527D6"/>
    <w:rsid w:val="00C54E36"/>
    <w:rsid w:val="00C67807"/>
    <w:rsid w:val="00C67901"/>
    <w:rsid w:val="00C67989"/>
    <w:rsid w:val="00C71A8C"/>
    <w:rsid w:val="00C72760"/>
    <w:rsid w:val="00C7323D"/>
    <w:rsid w:val="00C73A61"/>
    <w:rsid w:val="00C73F0C"/>
    <w:rsid w:val="00C87E63"/>
    <w:rsid w:val="00C91F5D"/>
    <w:rsid w:val="00CA1817"/>
    <w:rsid w:val="00CA398E"/>
    <w:rsid w:val="00CB120B"/>
    <w:rsid w:val="00CB1CF4"/>
    <w:rsid w:val="00CB32ED"/>
    <w:rsid w:val="00CB57F0"/>
    <w:rsid w:val="00CC3427"/>
    <w:rsid w:val="00CD0C1B"/>
    <w:rsid w:val="00CD53E3"/>
    <w:rsid w:val="00CE0553"/>
    <w:rsid w:val="00CE1ABA"/>
    <w:rsid w:val="00CE33F7"/>
    <w:rsid w:val="00CE6007"/>
    <w:rsid w:val="00CE71AD"/>
    <w:rsid w:val="00CF44EA"/>
    <w:rsid w:val="00CF4A08"/>
    <w:rsid w:val="00CF55A1"/>
    <w:rsid w:val="00D0024D"/>
    <w:rsid w:val="00D01EC0"/>
    <w:rsid w:val="00D1177F"/>
    <w:rsid w:val="00D1708F"/>
    <w:rsid w:val="00D17CFE"/>
    <w:rsid w:val="00D26BEA"/>
    <w:rsid w:val="00D3214A"/>
    <w:rsid w:val="00D32F92"/>
    <w:rsid w:val="00D340FE"/>
    <w:rsid w:val="00D40420"/>
    <w:rsid w:val="00D4159F"/>
    <w:rsid w:val="00D41BA8"/>
    <w:rsid w:val="00D42373"/>
    <w:rsid w:val="00D47188"/>
    <w:rsid w:val="00D51AA6"/>
    <w:rsid w:val="00D559F9"/>
    <w:rsid w:val="00D561E7"/>
    <w:rsid w:val="00D64217"/>
    <w:rsid w:val="00D643AB"/>
    <w:rsid w:val="00D72C64"/>
    <w:rsid w:val="00D733DC"/>
    <w:rsid w:val="00D746F3"/>
    <w:rsid w:val="00D76366"/>
    <w:rsid w:val="00D77032"/>
    <w:rsid w:val="00D81AAB"/>
    <w:rsid w:val="00D841CE"/>
    <w:rsid w:val="00D91F6D"/>
    <w:rsid w:val="00DA0339"/>
    <w:rsid w:val="00DA052E"/>
    <w:rsid w:val="00DA2434"/>
    <w:rsid w:val="00DA2EB8"/>
    <w:rsid w:val="00DA3AED"/>
    <w:rsid w:val="00DA666F"/>
    <w:rsid w:val="00DA7C3A"/>
    <w:rsid w:val="00DB0C31"/>
    <w:rsid w:val="00DB2A5B"/>
    <w:rsid w:val="00DB4F2C"/>
    <w:rsid w:val="00DC0D88"/>
    <w:rsid w:val="00DC1B8E"/>
    <w:rsid w:val="00DC4E62"/>
    <w:rsid w:val="00DC79EB"/>
    <w:rsid w:val="00DD1C40"/>
    <w:rsid w:val="00DD3AC4"/>
    <w:rsid w:val="00DD47B8"/>
    <w:rsid w:val="00DE63A5"/>
    <w:rsid w:val="00DF249E"/>
    <w:rsid w:val="00DF3470"/>
    <w:rsid w:val="00DF749F"/>
    <w:rsid w:val="00E06264"/>
    <w:rsid w:val="00E32C90"/>
    <w:rsid w:val="00E33412"/>
    <w:rsid w:val="00E3372A"/>
    <w:rsid w:val="00E371A3"/>
    <w:rsid w:val="00E37374"/>
    <w:rsid w:val="00E42716"/>
    <w:rsid w:val="00E51989"/>
    <w:rsid w:val="00E54F32"/>
    <w:rsid w:val="00E55A1C"/>
    <w:rsid w:val="00E57B28"/>
    <w:rsid w:val="00E616AD"/>
    <w:rsid w:val="00E619E6"/>
    <w:rsid w:val="00E64759"/>
    <w:rsid w:val="00E8084D"/>
    <w:rsid w:val="00E80A70"/>
    <w:rsid w:val="00E918C4"/>
    <w:rsid w:val="00E91FA6"/>
    <w:rsid w:val="00E94BCE"/>
    <w:rsid w:val="00E975A7"/>
    <w:rsid w:val="00EB0D97"/>
    <w:rsid w:val="00EB1463"/>
    <w:rsid w:val="00EC4463"/>
    <w:rsid w:val="00EE1BF6"/>
    <w:rsid w:val="00EE375D"/>
    <w:rsid w:val="00EE7CCC"/>
    <w:rsid w:val="00EF3ACC"/>
    <w:rsid w:val="00F00E9F"/>
    <w:rsid w:val="00F01B4F"/>
    <w:rsid w:val="00F0342A"/>
    <w:rsid w:val="00F03561"/>
    <w:rsid w:val="00F136B6"/>
    <w:rsid w:val="00F154B5"/>
    <w:rsid w:val="00F22EE8"/>
    <w:rsid w:val="00F30990"/>
    <w:rsid w:val="00F40E2F"/>
    <w:rsid w:val="00F4280D"/>
    <w:rsid w:val="00F51725"/>
    <w:rsid w:val="00F574D0"/>
    <w:rsid w:val="00F61F5E"/>
    <w:rsid w:val="00F63ECC"/>
    <w:rsid w:val="00F7352C"/>
    <w:rsid w:val="00F77DE9"/>
    <w:rsid w:val="00F8309C"/>
    <w:rsid w:val="00F871F7"/>
    <w:rsid w:val="00FA1658"/>
    <w:rsid w:val="00FA1778"/>
    <w:rsid w:val="00FA44E3"/>
    <w:rsid w:val="00FA550A"/>
    <w:rsid w:val="00FB4495"/>
    <w:rsid w:val="00FB78BA"/>
    <w:rsid w:val="00FC070B"/>
    <w:rsid w:val="00FC7252"/>
    <w:rsid w:val="00FC7A60"/>
    <w:rsid w:val="00FD464A"/>
    <w:rsid w:val="00FE5CBB"/>
    <w:rsid w:val="00FF07D0"/>
    <w:rsid w:val="00FF119D"/>
    <w:rsid w:val="00FF28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376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S Gothic" w:hAnsi="Century Gothic"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6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23179D"/>
    <w:pPr>
      <w:keepNext/>
      <w:keepLines/>
      <w:outlineLvl w:val="0"/>
    </w:pPr>
    <w:rPr>
      <w:rFonts w:ascii="InterFace Bold" w:hAnsi="InterFace Bold"/>
      <w:bCs/>
      <w:color w:val="000000"/>
      <w:szCs w:val="32"/>
      <w:lang w:val="en-GB"/>
    </w:rPr>
  </w:style>
  <w:style w:type="paragraph" w:styleId="Heading2">
    <w:name w:val="heading 2"/>
    <w:basedOn w:val="Normal"/>
    <w:next w:val="Normal"/>
    <w:link w:val="Heading2Char"/>
    <w:uiPriority w:val="9"/>
    <w:qFormat/>
    <w:rsid w:val="0023179D"/>
    <w:pPr>
      <w:keepNext/>
      <w:keepLines/>
      <w:pBdr>
        <w:left w:val="single" w:sz="36" w:space="16" w:color="DC2A19"/>
      </w:pBdr>
      <w:spacing w:before="480" w:after="300"/>
      <w:ind w:left="397"/>
      <w:outlineLvl w:val="1"/>
    </w:pPr>
    <w:rPr>
      <w:b/>
      <w:bCs/>
      <w:caps/>
      <w:color w:val="000000"/>
      <w:sz w:val="26"/>
      <w:szCs w:val="26"/>
      <w:lang w:val="en-GB"/>
    </w:rPr>
  </w:style>
  <w:style w:type="paragraph" w:styleId="Heading3">
    <w:name w:val="heading 3"/>
    <w:basedOn w:val="Normal"/>
    <w:next w:val="Normal"/>
    <w:link w:val="Heading3Char"/>
    <w:uiPriority w:val="9"/>
    <w:qFormat/>
    <w:rsid w:val="0023179D"/>
    <w:pPr>
      <w:keepNext/>
      <w:keepLines/>
      <w:spacing w:before="200" w:after="0"/>
      <w:outlineLvl w:val="2"/>
    </w:pPr>
    <w:rPr>
      <w:rFonts w:ascii="Century Gothic" w:hAnsi="Century Gothic"/>
      <w:b/>
      <w:bCs/>
      <w:color w:val="DC2A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179D"/>
    <w:pPr>
      <w:spacing w:after="100"/>
      <w:contextualSpacing/>
    </w:pPr>
    <w:rPr>
      <w:rFonts w:ascii="InterFace XBold" w:hAnsi="InterFace XBold"/>
      <w:color w:val="000000"/>
      <w:spacing w:val="5"/>
      <w:kern w:val="28"/>
      <w:sz w:val="44"/>
      <w:szCs w:val="52"/>
      <w:lang w:val="en-GB"/>
    </w:rPr>
  </w:style>
  <w:style w:type="character" w:customStyle="1" w:styleId="TitleChar">
    <w:name w:val="Title Char"/>
    <w:link w:val="Title"/>
    <w:uiPriority w:val="10"/>
    <w:rsid w:val="0023179D"/>
    <w:rPr>
      <w:rFonts w:ascii="InterFace XBold" w:hAnsi="InterFace XBold"/>
      <w:color w:val="000000"/>
      <w:spacing w:val="5"/>
      <w:kern w:val="28"/>
      <w:sz w:val="44"/>
      <w:szCs w:val="52"/>
      <w:lang w:val="en-GB"/>
    </w:rPr>
  </w:style>
  <w:style w:type="character" w:customStyle="1" w:styleId="Heading1Char">
    <w:name w:val="Heading 1 Char"/>
    <w:link w:val="Heading1"/>
    <w:uiPriority w:val="9"/>
    <w:rsid w:val="0023179D"/>
    <w:rPr>
      <w:rFonts w:ascii="InterFace Bold" w:hAnsi="InterFace Bold"/>
      <w:bCs/>
      <w:color w:val="000000"/>
      <w:sz w:val="22"/>
      <w:szCs w:val="32"/>
      <w:lang w:val="en-GB"/>
    </w:rPr>
  </w:style>
  <w:style w:type="character" w:styleId="Emphasis">
    <w:name w:val="Emphasis"/>
    <w:uiPriority w:val="20"/>
    <w:qFormat/>
    <w:rsid w:val="0023179D"/>
    <w:rPr>
      <w:i/>
      <w:iCs/>
    </w:rPr>
  </w:style>
  <w:style w:type="paragraph" w:styleId="Header">
    <w:name w:val="header"/>
    <w:basedOn w:val="Normal"/>
    <w:link w:val="HeaderChar"/>
    <w:uiPriority w:val="99"/>
    <w:unhideWhenUsed/>
    <w:rsid w:val="00C40D3B"/>
    <w:pPr>
      <w:tabs>
        <w:tab w:val="center" w:pos="4986"/>
        <w:tab w:val="right" w:pos="9972"/>
      </w:tabs>
    </w:pPr>
  </w:style>
  <w:style w:type="character" w:customStyle="1" w:styleId="HeaderChar">
    <w:name w:val="Header Char"/>
    <w:link w:val="Header"/>
    <w:uiPriority w:val="99"/>
    <w:rsid w:val="00C40D3B"/>
    <w:rPr>
      <w:lang w:val="en-GB"/>
    </w:rPr>
  </w:style>
  <w:style w:type="paragraph" w:styleId="Footer">
    <w:name w:val="footer"/>
    <w:basedOn w:val="Normal"/>
    <w:link w:val="FooterChar"/>
    <w:uiPriority w:val="99"/>
    <w:unhideWhenUsed/>
    <w:rsid w:val="00C40D3B"/>
    <w:pPr>
      <w:tabs>
        <w:tab w:val="center" w:pos="4986"/>
        <w:tab w:val="right" w:pos="9972"/>
      </w:tabs>
    </w:pPr>
  </w:style>
  <w:style w:type="character" w:customStyle="1" w:styleId="FooterChar">
    <w:name w:val="Footer Char"/>
    <w:link w:val="Footer"/>
    <w:uiPriority w:val="99"/>
    <w:rsid w:val="00C40D3B"/>
    <w:rPr>
      <w:lang w:val="en-GB"/>
    </w:rPr>
  </w:style>
  <w:style w:type="paragraph" w:styleId="BalloonText">
    <w:name w:val="Balloon Text"/>
    <w:basedOn w:val="Normal"/>
    <w:link w:val="BalloonTextChar"/>
    <w:uiPriority w:val="99"/>
    <w:semiHidden/>
    <w:unhideWhenUsed/>
    <w:rsid w:val="00C40D3B"/>
    <w:rPr>
      <w:rFonts w:ascii="Lucida Grande" w:hAnsi="Lucida Grande" w:cs="Lucida Grande"/>
      <w:sz w:val="18"/>
      <w:szCs w:val="18"/>
    </w:rPr>
  </w:style>
  <w:style w:type="character" w:customStyle="1" w:styleId="BalloonTextChar">
    <w:name w:val="Balloon Text Char"/>
    <w:link w:val="BalloonText"/>
    <w:uiPriority w:val="99"/>
    <w:semiHidden/>
    <w:rsid w:val="00C40D3B"/>
    <w:rPr>
      <w:rFonts w:ascii="Lucida Grande" w:hAnsi="Lucida Grande" w:cs="Lucida Grande"/>
      <w:sz w:val="18"/>
      <w:szCs w:val="18"/>
      <w:lang w:val="en-GB"/>
    </w:rPr>
  </w:style>
  <w:style w:type="character" w:styleId="PageNumber">
    <w:name w:val="page number"/>
    <w:basedOn w:val="DefaultParagraphFont"/>
    <w:uiPriority w:val="99"/>
    <w:semiHidden/>
    <w:unhideWhenUsed/>
    <w:rsid w:val="00DA0339"/>
  </w:style>
  <w:style w:type="table" w:styleId="TableGrid">
    <w:name w:val="Table Grid"/>
    <w:basedOn w:val="TableNormal"/>
    <w:uiPriority w:val="59"/>
    <w:rsid w:val="00CB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itter21">
    <w:name w:val="Medium gitter 21"/>
    <w:aliases w:val="Indledning"/>
    <w:basedOn w:val="Normal"/>
    <w:next w:val="Normal"/>
    <w:uiPriority w:val="1"/>
    <w:qFormat/>
    <w:rsid w:val="0023179D"/>
    <w:rPr>
      <w:sz w:val="24"/>
    </w:rPr>
  </w:style>
  <w:style w:type="character" w:customStyle="1" w:styleId="Heading2Char">
    <w:name w:val="Heading 2 Char"/>
    <w:link w:val="Heading2"/>
    <w:uiPriority w:val="9"/>
    <w:rsid w:val="0023179D"/>
    <w:rPr>
      <w:rFonts w:ascii="InterFace" w:hAnsi="InterFace"/>
      <w:b/>
      <w:bCs/>
      <w:caps/>
      <w:color w:val="000000"/>
      <w:sz w:val="26"/>
      <w:szCs w:val="26"/>
      <w:lang w:val="en-GB"/>
    </w:rPr>
  </w:style>
  <w:style w:type="paragraph" w:customStyle="1" w:styleId="Farvetliste-fremhvningsfarve11">
    <w:name w:val="Farvet liste - fremhævningsfarve 11"/>
    <w:basedOn w:val="Normal"/>
    <w:uiPriority w:val="34"/>
    <w:qFormat/>
    <w:rsid w:val="0023179D"/>
    <w:pPr>
      <w:ind w:left="720"/>
      <w:contextualSpacing/>
    </w:pPr>
  </w:style>
  <w:style w:type="character" w:customStyle="1" w:styleId="Heading3Char">
    <w:name w:val="Heading 3 Char"/>
    <w:link w:val="Heading3"/>
    <w:uiPriority w:val="9"/>
    <w:rsid w:val="0023179D"/>
    <w:rPr>
      <w:b/>
      <w:bCs/>
      <w:color w:val="DC2A19"/>
      <w:sz w:val="22"/>
    </w:rPr>
  </w:style>
  <w:style w:type="paragraph" w:styleId="ListParagraph">
    <w:name w:val="List Paragraph"/>
    <w:basedOn w:val="Normal"/>
    <w:uiPriority w:val="34"/>
    <w:qFormat/>
    <w:rsid w:val="0023179D"/>
    <w:pPr>
      <w:spacing w:after="200" w:line="276" w:lineRule="auto"/>
      <w:ind w:left="720"/>
      <w:contextualSpacing/>
    </w:pPr>
    <w:rPr>
      <w:rFonts w:ascii="Calibri" w:eastAsia="Calibri" w:hAnsi="Calibri"/>
    </w:rPr>
  </w:style>
  <w:style w:type="character" w:styleId="Hyperlink">
    <w:name w:val="Hyperlink"/>
    <w:uiPriority w:val="99"/>
    <w:unhideWhenUsed/>
    <w:rsid w:val="005A35DB"/>
    <w:rPr>
      <w:color w:val="0000FF"/>
      <w:u w:val="single"/>
    </w:rPr>
  </w:style>
  <w:style w:type="paragraph" w:styleId="Bibliography">
    <w:name w:val="Bibliography"/>
    <w:basedOn w:val="Normal"/>
    <w:next w:val="Normal"/>
    <w:uiPriority w:val="37"/>
    <w:unhideWhenUsed/>
    <w:rsid w:val="00C73A61"/>
  </w:style>
  <w:style w:type="table" w:styleId="LightShading">
    <w:name w:val="Light Shading"/>
    <w:basedOn w:val="TableNormal"/>
    <w:uiPriority w:val="60"/>
    <w:rsid w:val="00C73A6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C73A61"/>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C73A61"/>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D1C40"/>
    <w:rPr>
      <w:sz w:val="16"/>
      <w:szCs w:val="16"/>
    </w:rPr>
  </w:style>
  <w:style w:type="paragraph" w:styleId="CommentText">
    <w:name w:val="annotation text"/>
    <w:basedOn w:val="Normal"/>
    <w:link w:val="CommentTextChar"/>
    <w:uiPriority w:val="99"/>
    <w:semiHidden/>
    <w:unhideWhenUsed/>
    <w:rsid w:val="00DD1C40"/>
    <w:pPr>
      <w:spacing w:line="240" w:lineRule="auto"/>
    </w:pPr>
    <w:rPr>
      <w:sz w:val="20"/>
      <w:szCs w:val="20"/>
    </w:rPr>
  </w:style>
  <w:style w:type="character" w:customStyle="1" w:styleId="CommentTextChar">
    <w:name w:val="Comment Text Char"/>
    <w:basedOn w:val="DefaultParagraphFont"/>
    <w:link w:val="CommentText"/>
    <w:uiPriority w:val="99"/>
    <w:semiHidden/>
    <w:rsid w:val="00DD1C4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D1C40"/>
    <w:rPr>
      <w:b/>
      <w:bCs/>
    </w:rPr>
  </w:style>
  <w:style w:type="character" w:customStyle="1" w:styleId="CommentSubjectChar">
    <w:name w:val="Comment Subject Char"/>
    <w:basedOn w:val="CommentTextChar"/>
    <w:link w:val="CommentSubject"/>
    <w:uiPriority w:val="99"/>
    <w:semiHidden/>
    <w:rsid w:val="00DD1C40"/>
    <w:rPr>
      <w:rFonts w:asciiTheme="minorHAnsi" w:eastAsiaTheme="minorHAnsi" w:hAnsiTheme="minorHAnsi" w:cstheme="minorBidi"/>
      <w:b/>
      <w:bCs/>
      <w:lang w:eastAsia="en-US"/>
    </w:rPr>
  </w:style>
  <w:style w:type="paragraph" w:styleId="FootnoteText">
    <w:name w:val="footnote text"/>
    <w:basedOn w:val="Normal"/>
    <w:link w:val="FootnoteTextChar"/>
    <w:uiPriority w:val="99"/>
    <w:semiHidden/>
    <w:unhideWhenUsed/>
    <w:rsid w:val="008A3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7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A3E73"/>
    <w:rPr>
      <w:vertAlign w:val="superscript"/>
    </w:rPr>
  </w:style>
  <w:style w:type="table" w:customStyle="1" w:styleId="Listetabel6-farverig1">
    <w:name w:val="Listetabel 6 - farverig1"/>
    <w:basedOn w:val="TableNormal"/>
    <w:uiPriority w:val="51"/>
    <w:rsid w:val="008103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lstomtale1">
    <w:name w:val="Uløst omtale1"/>
    <w:basedOn w:val="DefaultParagraphFont"/>
    <w:uiPriority w:val="99"/>
    <w:semiHidden/>
    <w:unhideWhenUsed/>
    <w:rsid w:val="0081038D"/>
    <w:rPr>
      <w:color w:val="808080"/>
      <w:shd w:val="clear" w:color="auto" w:fill="E6E6E6"/>
    </w:rPr>
  </w:style>
  <w:style w:type="character" w:styleId="FollowedHyperlink">
    <w:name w:val="FollowedHyperlink"/>
    <w:basedOn w:val="DefaultParagraphFont"/>
    <w:uiPriority w:val="99"/>
    <w:semiHidden/>
    <w:unhideWhenUsed/>
    <w:rsid w:val="00D32F92"/>
    <w:rPr>
      <w:color w:val="800080" w:themeColor="followedHyperlink"/>
      <w:u w:val="single"/>
    </w:rPr>
  </w:style>
  <w:style w:type="table" w:customStyle="1" w:styleId="Listetabel21">
    <w:name w:val="Listetabel 21"/>
    <w:basedOn w:val="TableNormal"/>
    <w:uiPriority w:val="47"/>
    <w:rsid w:val="002D52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8B1993"/>
    <w:rPr>
      <w:color w:val="808080"/>
      <w:shd w:val="clear" w:color="auto" w:fill="E6E6E6"/>
    </w:rPr>
  </w:style>
  <w:style w:type="character" w:styleId="PlaceholderText">
    <w:name w:val="Placeholder Text"/>
    <w:basedOn w:val="DefaultParagraphFont"/>
    <w:uiPriority w:val="99"/>
    <w:semiHidden/>
    <w:rsid w:val="00D559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S Gothic" w:hAnsi="Century Gothic"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6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23179D"/>
    <w:pPr>
      <w:keepNext/>
      <w:keepLines/>
      <w:outlineLvl w:val="0"/>
    </w:pPr>
    <w:rPr>
      <w:rFonts w:ascii="InterFace Bold" w:hAnsi="InterFace Bold"/>
      <w:bCs/>
      <w:color w:val="000000"/>
      <w:szCs w:val="32"/>
      <w:lang w:val="en-GB"/>
    </w:rPr>
  </w:style>
  <w:style w:type="paragraph" w:styleId="Heading2">
    <w:name w:val="heading 2"/>
    <w:basedOn w:val="Normal"/>
    <w:next w:val="Normal"/>
    <w:link w:val="Heading2Char"/>
    <w:uiPriority w:val="9"/>
    <w:qFormat/>
    <w:rsid w:val="0023179D"/>
    <w:pPr>
      <w:keepNext/>
      <w:keepLines/>
      <w:pBdr>
        <w:left w:val="single" w:sz="36" w:space="16" w:color="DC2A19"/>
      </w:pBdr>
      <w:spacing w:before="480" w:after="300"/>
      <w:ind w:left="397"/>
      <w:outlineLvl w:val="1"/>
    </w:pPr>
    <w:rPr>
      <w:b/>
      <w:bCs/>
      <w:caps/>
      <w:color w:val="000000"/>
      <w:sz w:val="26"/>
      <w:szCs w:val="26"/>
      <w:lang w:val="en-GB"/>
    </w:rPr>
  </w:style>
  <w:style w:type="paragraph" w:styleId="Heading3">
    <w:name w:val="heading 3"/>
    <w:basedOn w:val="Normal"/>
    <w:next w:val="Normal"/>
    <w:link w:val="Heading3Char"/>
    <w:uiPriority w:val="9"/>
    <w:qFormat/>
    <w:rsid w:val="0023179D"/>
    <w:pPr>
      <w:keepNext/>
      <w:keepLines/>
      <w:spacing w:before="200" w:after="0"/>
      <w:outlineLvl w:val="2"/>
    </w:pPr>
    <w:rPr>
      <w:rFonts w:ascii="Century Gothic" w:hAnsi="Century Gothic"/>
      <w:b/>
      <w:bCs/>
      <w:color w:val="DC2A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179D"/>
    <w:pPr>
      <w:spacing w:after="100"/>
      <w:contextualSpacing/>
    </w:pPr>
    <w:rPr>
      <w:rFonts w:ascii="InterFace XBold" w:hAnsi="InterFace XBold"/>
      <w:color w:val="000000"/>
      <w:spacing w:val="5"/>
      <w:kern w:val="28"/>
      <w:sz w:val="44"/>
      <w:szCs w:val="52"/>
      <w:lang w:val="en-GB"/>
    </w:rPr>
  </w:style>
  <w:style w:type="character" w:customStyle="1" w:styleId="TitleChar">
    <w:name w:val="Title Char"/>
    <w:link w:val="Title"/>
    <w:uiPriority w:val="10"/>
    <w:rsid w:val="0023179D"/>
    <w:rPr>
      <w:rFonts w:ascii="InterFace XBold" w:hAnsi="InterFace XBold"/>
      <w:color w:val="000000"/>
      <w:spacing w:val="5"/>
      <w:kern w:val="28"/>
      <w:sz w:val="44"/>
      <w:szCs w:val="52"/>
      <w:lang w:val="en-GB"/>
    </w:rPr>
  </w:style>
  <w:style w:type="character" w:customStyle="1" w:styleId="Heading1Char">
    <w:name w:val="Heading 1 Char"/>
    <w:link w:val="Heading1"/>
    <w:uiPriority w:val="9"/>
    <w:rsid w:val="0023179D"/>
    <w:rPr>
      <w:rFonts w:ascii="InterFace Bold" w:hAnsi="InterFace Bold"/>
      <w:bCs/>
      <w:color w:val="000000"/>
      <w:sz w:val="22"/>
      <w:szCs w:val="32"/>
      <w:lang w:val="en-GB"/>
    </w:rPr>
  </w:style>
  <w:style w:type="character" w:styleId="Emphasis">
    <w:name w:val="Emphasis"/>
    <w:uiPriority w:val="20"/>
    <w:qFormat/>
    <w:rsid w:val="0023179D"/>
    <w:rPr>
      <w:i/>
      <w:iCs/>
    </w:rPr>
  </w:style>
  <w:style w:type="paragraph" w:styleId="Header">
    <w:name w:val="header"/>
    <w:basedOn w:val="Normal"/>
    <w:link w:val="HeaderChar"/>
    <w:uiPriority w:val="99"/>
    <w:unhideWhenUsed/>
    <w:rsid w:val="00C40D3B"/>
    <w:pPr>
      <w:tabs>
        <w:tab w:val="center" w:pos="4986"/>
        <w:tab w:val="right" w:pos="9972"/>
      </w:tabs>
    </w:pPr>
  </w:style>
  <w:style w:type="character" w:customStyle="1" w:styleId="HeaderChar">
    <w:name w:val="Header Char"/>
    <w:link w:val="Header"/>
    <w:uiPriority w:val="99"/>
    <w:rsid w:val="00C40D3B"/>
    <w:rPr>
      <w:lang w:val="en-GB"/>
    </w:rPr>
  </w:style>
  <w:style w:type="paragraph" w:styleId="Footer">
    <w:name w:val="footer"/>
    <w:basedOn w:val="Normal"/>
    <w:link w:val="FooterChar"/>
    <w:uiPriority w:val="99"/>
    <w:unhideWhenUsed/>
    <w:rsid w:val="00C40D3B"/>
    <w:pPr>
      <w:tabs>
        <w:tab w:val="center" w:pos="4986"/>
        <w:tab w:val="right" w:pos="9972"/>
      </w:tabs>
    </w:pPr>
  </w:style>
  <w:style w:type="character" w:customStyle="1" w:styleId="FooterChar">
    <w:name w:val="Footer Char"/>
    <w:link w:val="Footer"/>
    <w:uiPriority w:val="99"/>
    <w:rsid w:val="00C40D3B"/>
    <w:rPr>
      <w:lang w:val="en-GB"/>
    </w:rPr>
  </w:style>
  <w:style w:type="paragraph" w:styleId="BalloonText">
    <w:name w:val="Balloon Text"/>
    <w:basedOn w:val="Normal"/>
    <w:link w:val="BalloonTextChar"/>
    <w:uiPriority w:val="99"/>
    <w:semiHidden/>
    <w:unhideWhenUsed/>
    <w:rsid w:val="00C40D3B"/>
    <w:rPr>
      <w:rFonts w:ascii="Lucida Grande" w:hAnsi="Lucida Grande" w:cs="Lucida Grande"/>
      <w:sz w:val="18"/>
      <w:szCs w:val="18"/>
    </w:rPr>
  </w:style>
  <w:style w:type="character" w:customStyle="1" w:styleId="BalloonTextChar">
    <w:name w:val="Balloon Text Char"/>
    <w:link w:val="BalloonText"/>
    <w:uiPriority w:val="99"/>
    <w:semiHidden/>
    <w:rsid w:val="00C40D3B"/>
    <w:rPr>
      <w:rFonts w:ascii="Lucida Grande" w:hAnsi="Lucida Grande" w:cs="Lucida Grande"/>
      <w:sz w:val="18"/>
      <w:szCs w:val="18"/>
      <w:lang w:val="en-GB"/>
    </w:rPr>
  </w:style>
  <w:style w:type="character" w:styleId="PageNumber">
    <w:name w:val="page number"/>
    <w:basedOn w:val="DefaultParagraphFont"/>
    <w:uiPriority w:val="99"/>
    <w:semiHidden/>
    <w:unhideWhenUsed/>
    <w:rsid w:val="00DA0339"/>
  </w:style>
  <w:style w:type="table" w:styleId="TableGrid">
    <w:name w:val="Table Grid"/>
    <w:basedOn w:val="TableNormal"/>
    <w:uiPriority w:val="59"/>
    <w:rsid w:val="00CB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itter21">
    <w:name w:val="Medium gitter 21"/>
    <w:aliases w:val="Indledning"/>
    <w:basedOn w:val="Normal"/>
    <w:next w:val="Normal"/>
    <w:uiPriority w:val="1"/>
    <w:qFormat/>
    <w:rsid w:val="0023179D"/>
    <w:rPr>
      <w:sz w:val="24"/>
    </w:rPr>
  </w:style>
  <w:style w:type="character" w:customStyle="1" w:styleId="Heading2Char">
    <w:name w:val="Heading 2 Char"/>
    <w:link w:val="Heading2"/>
    <w:uiPriority w:val="9"/>
    <w:rsid w:val="0023179D"/>
    <w:rPr>
      <w:rFonts w:ascii="InterFace" w:hAnsi="InterFace"/>
      <w:b/>
      <w:bCs/>
      <w:caps/>
      <w:color w:val="000000"/>
      <w:sz w:val="26"/>
      <w:szCs w:val="26"/>
      <w:lang w:val="en-GB"/>
    </w:rPr>
  </w:style>
  <w:style w:type="paragraph" w:customStyle="1" w:styleId="Farvetliste-fremhvningsfarve11">
    <w:name w:val="Farvet liste - fremhævningsfarve 11"/>
    <w:basedOn w:val="Normal"/>
    <w:uiPriority w:val="34"/>
    <w:qFormat/>
    <w:rsid w:val="0023179D"/>
    <w:pPr>
      <w:ind w:left="720"/>
      <w:contextualSpacing/>
    </w:pPr>
  </w:style>
  <w:style w:type="character" w:customStyle="1" w:styleId="Heading3Char">
    <w:name w:val="Heading 3 Char"/>
    <w:link w:val="Heading3"/>
    <w:uiPriority w:val="9"/>
    <w:rsid w:val="0023179D"/>
    <w:rPr>
      <w:b/>
      <w:bCs/>
      <w:color w:val="DC2A19"/>
      <w:sz w:val="22"/>
    </w:rPr>
  </w:style>
  <w:style w:type="paragraph" w:styleId="ListParagraph">
    <w:name w:val="List Paragraph"/>
    <w:basedOn w:val="Normal"/>
    <w:uiPriority w:val="34"/>
    <w:qFormat/>
    <w:rsid w:val="0023179D"/>
    <w:pPr>
      <w:spacing w:after="200" w:line="276" w:lineRule="auto"/>
      <w:ind w:left="720"/>
      <w:contextualSpacing/>
    </w:pPr>
    <w:rPr>
      <w:rFonts w:ascii="Calibri" w:eastAsia="Calibri" w:hAnsi="Calibri"/>
    </w:rPr>
  </w:style>
  <w:style w:type="character" w:styleId="Hyperlink">
    <w:name w:val="Hyperlink"/>
    <w:uiPriority w:val="99"/>
    <w:unhideWhenUsed/>
    <w:rsid w:val="005A35DB"/>
    <w:rPr>
      <w:color w:val="0000FF"/>
      <w:u w:val="single"/>
    </w:rPr>
  </w:style>
  <w:style w:type="paragraph" w:styleId="Bibliography">
    <w:name w:val="Bibliography"/>
    <w:basedOn w:val="Normal"/>
    <w:next w:val="Normal"/>
    <w:uiPriority w:val="37"/>
    <w:unhideWhenUsed/>
    <w:rsid w:val="00C73A61"/>
  </w:style>
  <w:style w:type="table" w:styleId="LightShading">
    <w:name w:val="Light Shading"/>
    <w:basedOn w:val="TableNormal"/>
    <w:uiPriority w:val="60"/>
    <w:rsid w:val="00C73A6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C73A61"/>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C73A61"/>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D1C40"/>
    <w:rPr>
      <w:sz w:val="16"/>
      <w:szCs w:val="16"/>
    </w:rPr>
  </w:style>
  <w:style w:type="paragraph" w:styleId="CommentText">
    <w:name w:val="annotation text"/>
    <w:basedOn w:val="Normal"/>
    <w:link w:val="CommentTextChar"/>
    <w:uiPriority w:val="99"/>
    <w:semiHidden/>
    <w:unhideWhenUsed/>
    <w:rsid w:val="00DD1C40"/>
    <w:pPr>
      <w:spacing w:line="240" w:lineRule="auto"/>
    </w:pPr>
    <w:rPr>
      <w:sz w:val="20"/>
      <w:szCs w:val="20"/>
    </w:rPr>
  </w:style>
  <w:style w:type="character" w:customStyle="1" w:styleId="CommentTextChar">
    <w:name w:val="Comment Text Char"/>
    <w:basedOn w:val="DefaultParagraphFont"/>
    <w:link w:val="CommentText"/>
    <w:uiPriority w:val="99"/>
    <w:semiHidden/>
    <w:rsid w:val="00DD1C4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D1C40"/>
    <w:rPr>
      <w:b/>
      <w:bCs/>
    </w:rPr>
  </w:style>
  <w:style w:type="character" w:customStyle="1" w:styleId="CommentSubjectChar">
    <w:name w:val="Comment Subject Char"/>
    <w:basedOn w:val="CommentTextChar"/>
    <w:link w:val="CommentSubject"/>
    <w:uiPriority w:val="99"/>
    <w:semiHidden/>
    <w:rsid w:val="00DD1C40"/>
    <w:rPr>
      <w:rFonts w:asciiTheme="minorHAnsi" w:eastAsiaTheme="minorHAnsi" w:hAnsiTheme="minorHAnsi" w:cstheme="minorBidi"/>
      <w:b/>
      <w:bCs/>
      <w:lang w:eastAsia="en-US"/>
    </w:rPr>
  </w:style>
  <w:style w:type="paragraph" w:styleId="FootnoteText">
    <w:name w:val="footnote text"/>
    <w:basedOn w:val="Normal"/>
    <w:link w:val="FootnoteTextChar"/>
    <w:uiPriority w:val="99"/>
    <w:semiHidden/>
    <w:unhideWhenUsed/>
    <w:rsid w:val="008A3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7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A3E73"/>
    <w:rPr>
      <w:vertAlign w:val="superscript"/>
    </w:rPr>
  </w:style>
  <w:style w:type="table" w:customStyle="1" w:styleId="Listetabel6-farverig1">
    <w:name w:val="Listetabel 6 - farverig1"/>
    <w:basedOn w:val="TableNormal"/>
    <w:uiPriority w:val="51"/>
    <w:rsid w:val="008103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lstomtale1">
    <w:name w:val="Uløst omtale1"/>
    <w:basedOn w:val="DefaultParagraphFont"/>
    <w:uiPriority w:val="99"/>
    <w:semiHidden/>
    <w:unhideWhenUsed/>
    <w:rsid w:val="0081038D"/>
    <w:rPr>
      <w:color w:val="808080"/>
      <w:shd w:val="clear" w:color="auto" w:fill="E6E6E6"/>
    </w:rPr>
  </w:style>
  <w:style w:type="character" w:styleId="FollowedHyperlink">
    <w:name w:val="FollowedHyperlink"/>
    <w:basedOn w:val="DefaultParagraphFont"/>
    <w:uiPriority w:val="99"/>
    <w:semiHidden/>
    <w:unhideWhenUsed/>
    <w:rsid w:val="00D32F92"/>
    <w:rPr>
      <w:color w:val="800080" w:themeColor="followedHyperlink"/>
      <w:u w:val="single"/>
    </w:rPr>
  </w:style>
  <w:style w:type="table" w:customStyle="1" w:styleId="Listetabel21">
    <w:name w:val="Listetabel 21"/>
    <w:basedOn w:val="TableNormal"/>
    <w:uiPriority w:val="47"/>
    <w:rsid w:val="002D52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8B1993"/>
    <w:rPr>
      <w:color w:val="808080"/>
      <w:shd w:val="clear" w:color="auto" w:fill="E6E6E6"/>
    </w:rPr>
  </w:style>
  <w:style w:type="character" w:styleId="PlaceholderText">
    <w:name w:val="Placeholder Text"/>
    <w:basedOn w:val="DefaultParagraphFont"/>
    <w:uiPriority w:val="99"/>
    <w:semiHidden/>
    <w:rsid w:val="00D559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6">
      <w:bodyDiv w:val="1"/>
      <w:marLeft w:val="0"/>
      <w:marRight w:val="0"/>
      <w:marTop w:val="0"/>
      <w:marBottom w:val="0"/>
      <w:divBdr>
        <w:top w:val="none" w:sz="0" w:space="0" w:color="auto"/>
        <w:left w:val="none" w:sz="0" w:space="0" w:color="auto"/>
        <w:bottom w:val="none" w:sz="0" w:space="0" w:color="auto"/>
        <w:right w:val="none" w:sz="0" w:space="0" w:color="auto"/>
      </w:divBdr>
    </w:div>
    <w:div w:id="2562445">
      <w:bodyDiv w:val="1"/>
      <w:marLeft w:val="0"/>
      <w:marRight w:val="0"/>
      <w:marTop w:val="0"/>
      <w:marBottom w:val="0"/>
      <w:divBdr>
        <w:top w:val="none" w:sz="0" w:space="0" w:color="auto"/>
        <w:left w:val="none" w:sz="0" w:space="0" w:color="auto"/>
        <w:bottom w:val="none" w:sz="0" w:space="0" w:color="auto"/>
        <w:right w:val="none" w:sz="0" w:space="0" w:color="auto"/>
      </w:divBdr>
    </w:div>
    <w:div w:id="7219089">
      <w:bodyDiv w:val="1"/>
      <w:marLeft w:val="0"/>
      <w:marRight w:val="0"/>
      <w:marTop w:val="0"/>
      <w:marBottom w:val="0"/>
      <w:divBdr>
        <w:top w:val="none" w:sz="0" w:space="0" w:color="auto"/>
        <w:left w:val="none" w:sz="0" w:space="0" w:color="auto"/>
        <w:bottom w:val="none" w:sz="0" w:space="0" w:color="auto"/>
        <w:right w:val="none" w:sz="0" w:space="0" w:color="auto"/>
      </w:divBdr>
    </w:div>
    <w:div w:id="8609587">
      <w:bodyDiv w:val="1"/>
      <w:marLeft w:val="0"/>
      <w:marRight w:val="0"/>
      <w:marTop w:val="0"/>
      <w:marBottom w:val="0"/>
      <w:divBdr>
        <w:top w:val="none" w:sz="0" w:space="0" w:color="auto"/>
        <w:left w:val="none" w:sz="0" w:space="0" w:color="auto"/>
        <w:bottom w:val="none" w:sz="0" w:space="0" w:color="auto"/>
        <w:right w:val="none" w:sz="0" w:space="0" w:color="auto"/>
      </w:divBdr>
    </w:div>
    <w:div w:id="9770393">
      <w:bodyDiv w:val="1"/>
      <w:marLeft w:val="0"/>
      <w:marRight w:val="0"/>
      <w:marTop w:val="0"/>
      <w:marBottom w:val="0"/>
      <w:divBdr>
        <w:top w:val="none" w:sz="0" w:space="0" w:color="auto"/>
        <w:left w:val="none" w:sz="0" w:space="0" w:color="auto"/>
        <w:bottom w:val="none" w:sz="0" w:space="0" w:color="auto"/>
        <w:right w:val="none" w:sz="0" w:space="0" w:color="auto"/>
      </w:divBdr>
    </w:div>
    <w:div w:id="15860304">
      <w:bodyDiv w:val="1"/>
      <w:marLeft w:val="0"/>
      <w:marRight w:val="0"/>
      <w:marTop w:val="0"/>
      <w:marBottom w:val="0"/>
      <w:divBdr>
        <w:top w:val="none" w:sz="0" w:space="0" w:color="auto"/>
        <w:left w:val="none" w:sz="0" w:space="0" w:color="auto"/>
        <w:bottom w:val="none" w:sz="0" w:space="0" w:color="auto"/>
        <w:right w:val="none" w:sz="0" w:space="0" w:color="auto"/>
      </w:divBdr>
    </w:div>
    <w:div w:id="21781628">
      <w:bodyDiv w:val="1"/>
      <w:marLeft w:val="0"/>
      <w:marRight w:val="0"/>
      <w:marTop w:val="0"/>
      <w:marBottom w:val="0"/>
      <w:divBdr>
        <w:top w:val="none" w:sz="0" w:space="0" w:color="auto"/>
        <w:left w:val="none" w:sz="0" w:space="0" w:color="auto"/>
        <w:bottom w:val="none" w:sz="0" w:space="0" w:color="auto"/>
        <w:right w:val="none" w:sz="0" w:space="0" w:color="auto"/>
      </w:divBdr>
    </w:div>
    <w:div w:id="22100848">
      <w:bodyDiv w:val="1"/>
      <w:marLeft w:val="0"/>
      <w:marRight w:val="0"/>
      <w:marTop w:val="0"/>
      <w:marBottom w:val="0"/>
      <w:divBdr>
        <w:top w:val="none" w:sz="0" w:space="0" w:color="auto"/>
        <w:left w:val="none" w:sz="0" w:space="0" w:color="auto"/>
        <w:bottom w:val="none" w:sz="0" w:space="0" w:color="auto"/>
        <w:right w:val="none" w:sz="0" w:space="0" w:color="auto"/>
      </w:divBdr>
    </w:div>
    <w:div w:id="22295086">
      <w:bodyDiv w:val="1"/>
      <w:marLeft w:val="0"/>
      <w:marRight w:val="0"/>
      <w:marTop w:val="0"/>
      <w:marBottom w:val="0"/>
      <w:divBdr>
        <w:top w:val="none" w:sz="0" w:space="0" w:color="auto"/>
        <w:left w:val="none" w:sz="0" w:space="0" w:color="auto"/>
        <w:bottom w:val="none" w:sz="0" w:space="0" w:color="auto"/>
        <w:right w:val="none" w:sz="0" w:space="0" w:color="auto"/>
      </w:divBdr>
    </w:div>
    <w:div w:id="34545745">
      <w:bodyDiv w:val="1"/>
      <w:marLeft w:val="0"/>
      <w:marRight w:val="0"/>
      <w:marTop w:val="0"/>
      <w:marBottom w:val="0"/>
      <w:divBdr>
        <w:top w:val="none" w:sz="0" w:space="0" w:color="auto"/>
        <w:left w:val="none" w:sz="0" w:space="0" w:color="auto"/>
        <w:bottom w:val="none" w:sz="0" w:space="0" w:color="auto"/>
        <w:right w:val="none" w:sz="0" w:space="0" w:color="auto"/>
      </w:divBdr>
    </w:div>
    <w:div w:id="34888135">
      <w:bodyDiv w:val="1"/>
      <w:marLeft w:val="0"/>
      <w:marRight w:val="0"/>
      <w:marTop w:val="0"/>
      <w:marBottom w:val="0"/>
      <w:divBdr>
        <w:top w:val="none" w:sz="0" w:space="0" w:color="auto"/>
        <w:left w:val="none" w:sz="0" w:space="0" w:color="auto"/>
        <w:bottom w:val="none" w:sz="0" w:space="0" w:color="auto"/>
        <w:right w:val="none" w:sz="0" w:space="0" w:color="auto"/>
      </w:divBdr>
    </w:div>
    <w:div w:id="67575978">
      <w:bodyDiv w:val="1"/>
      <w:marLeft w:val="0"/>
      <w:marRight w:val="0"/>
      <w:marTop w:val="0"/>
      <w:marBottom w:val="0"/>
      <w:divBdr>
        <w:top w:val="none" w:sz="0" w:space="0" w:color="auto"/>
        <w:left w:val="none" w:sz="0" w:space="0" w:color="auto"/>
        <w:bottom w:val="none" w:sz="0" w:space="0" w:color="auto"/>
        <w:right w:val="none" w:sz="0" w:space="0" w:color="auto"/>
      </w:divBdr>
    </w:div>
    <w:div w:id="73935405">
      <w:bodyDiv w:val="1"/>
      <w:marLeft w:val="0"/>
      <w:marRight w:val="0"/>
      <w:marTop w:val="0"/>
      <w:marBottom w:val="0"/>
      <w:divBdr>
        <w:top w:val="none" w:sz="0" w:space="0" w:color="auto"/>
        <w:left w:val="none" w:sz="0" w:space="0" w:color="auto"/>
        <w:bottom w:val="none" w:sz="0" w:space="0" w:color="auto"/>
        <w:right w:val="none" w:sz="0" w:space="0" w:color="auto"/>
      </w:divBdr>
    </w:div>
    <w:div w:id="75983065">
      <w:bodyDiv w:val="1"/>
      <w:marLeft w:val="0"/>
      <w:marRight w:val="0"/>
      <w:marTop w:val="0"/>
      <w:marBottom w:val="0"/>
      <w:divBdr>
        <w:top w:val="none" w:sz="0" w:space="0" w:color="auto"/>
        <w:left w:val="none" w:sz="0" w:space="0" w:color="auto"/>
        <w:bottom w:val="none" w:sz="0" w:space="0" w:color="auto"/>
        <w:right w:val="none" w:sz="0" w:space="0" w:color="auto"/>
      </w:divBdr>
    </w:div>
    <w:div w:id="79716065">
      <w:bodyDiv w:val="1"/>
      <w:marLeft w:val="0"/>
      <w:marRight w:val="0"/>
      <w:marTop w:val="0"/>
      <w:marBottom w:val="0"/>
      <w:divBdr>
        <w:top w:val="none" w:sz="0" w:space="0" w:color="auto"/>
        <w:left w:val="none" w:sz="0" w:space="0" w:color="auto"/>
        <w:bottom w:val="none" w:sz="0" w:space="0" w:color="auto"/>
        <w:right w:val="none" w:sz="0" w:space="0" w:color="auto"/>
      </w:divBdr>
    </w:div>
    <w:div w:id="81295179">
      <w:bodyDiv w:val="1"/>
      <w:marLeft w:val="0"/>
      <w:marRight w:val="0"/>
      <w:marTop w:val="0"/>
      <w:marBottom w:val="0"/>
      <w:divBdr>
        <w:top w:val="none" w:sz="0" w:space="0" w:color="auto"/>
        <w:left w:val="none" w:sz="0" w:space="0" w:color="auto"/>
        <w:bottom w:val="none" w:sz="0" w:space="0" w:color="auto"/>
        <w:right w:val="none" w:sz="0" w:space="0" w:color="auto"/>
      </w:divBdr>
    </w:div>
    <w:div w:id="83038907">
      <w:bodyDiv w:val="1"/>
      <w:marLeft w:val="0"/>
      <w:marRight w:val="0"/>
      <w:marTop w:val="0"/>
      <w:marBottom w:val="0"/>
      <w:divBdr>
        <w:top w:val="none" w:sz="0" w:space="0" w:color="auto"/>
        <w:left w:val="none" w:sz="0" w:space="0" w:color="auto"/>
        <w:bottom w:val="none" w:sz="0" w:space="0" w:color="auto"/>
        <w:right w:val="none" w:sz="0" w:space="0" w:color="auto"/>
      </w:divBdr>
    </w:div>
    <w:div w:id="84502633">
      <w:bodyDiv w:val="1"/>
      <w:marLeft w:val="0"/>
      <w:marRight w:val="0"/>
      <w:marTop w:val="0"/>
      <w:marBottom w:val="0"/>
      <w:divBdr>
        <w:top w:val="none" w:sz="0" w:space="0" w:color="auto"/>
        <w:left w:val="none" w:sz="0" w:space="0" w:color="auto"/>
        <w:bottom w:val="none" w:sz="0" w:space="0" w:color="auto"/>
        <w:right w:val="none" w:sz="0" w:space="0" w:color="auto"/>
      </w:divBdr>
    </w:div>
    <w:div w:id="86049283">
      <w:bodyDiv w:val="1"/>
      <w:marLeft w:val="0"/>
      <w:marRight w:val="0"/>
      <w:marTop w:val="0"/>
      <w:marBottom w:val="0"/>
      <w:divBdr>
        <w:top w:val="none" w:sz="0" w:space="0" w:color="auto"/>
        <w:left w:val="none" w:sz="0" w:space="0" w:color="auto"/>
        <w:bottom w:val="none" w:sz="0" w:space="0" w:color="auto"/>
        <w:right w:val="none" w:sz="0" w:space="0" w:color="auto"/>
      </w:divBdr>
    </w:div>
    <w:div w:id="96220781">
      <w:bodyDiv w:val="1"/>
      <w:marLeft w:val="0"/>
      <w:marRight w:val="0"/>
      <w:marTop w:val="0"/>
      <w:marBottom w:val="0"/>
      <w:divBdr>
        <w:top w:val="none" w:sz="0" w:space="0" w:color="auto"/>
        <w:left w:val="none" w:sz="0" w:space="0" w:color="auto"/>
        <w:bottom w:val="none" w:sz="0" w:space="0" w:color="auto"/>
        <w:right w:val="none" w:sz="0" w:space="0" w:color="auto"/>
      </w:divBdr>
    </w:div>
    <w:div w:id="100540984">
      <w:bodyDiv w:val="1"/>
      <w:marLeft w:val="0"/>
      <w:marRight w:val="0"/>
      <w:marTop w:val="0"/>
      <w:marBottom w:val="0"/>
      <w:divBdr>
        <w:top w:val="none" w:sz="0" w:space="0" w:color="auto"/>
        <w:left w:val="none" w:sz="0" w:space="0" w:color="auto"/>
        <w:bottom w:val="none" w:sz="0" w:space="0" w:color="auto"/>
        <w:right w:val="none" w:sz="0" w:space="0" w:color="auto"/>
      </w:divBdr>
    </w:div>
    <w:div w:id="112216961">
      <w:bodyDiv w:val="1"/>
      <w:marLeft w:val="0"/>
      <w:marRight w:val="0"/>
      <w:marTop w:val="0"/>
      <w:marBottom w:val="0"/>
      <w:divBdr>
        <w:top w:val="none" w:sz="0" w:space="0" w:color="auto"/>
        <w:left w:val="none" w:sz="0" w:space="0" w:color="auto"/>
        <w:bottom w:val="none" w:sz="0" w:space="0" w:color="auto"/>
        <w:right w:val="none" w:sz="0" w:space="0" w:color="auto"/>
      </w:divBdr>
    </w:div>
    <w:div w:id="120614774">
      <w:bodyDiv w:val="1"/>
      <w:marLeft w:val="0"/>
      <w:marRight w:val="0"/>
      <w:marTop w:val="0"/>
      <w:marBottom w:val="0"/>
      <w:divBdr>
        <w:top w:val="none" w:sz="0" w:space="0" w:color="auto"/>
        <w:left w:val="none" w:sz="0" w:space="0" w:color="auto"/>
        <w:bottom w:val="none" w:sz="0" w:space="0" w:color="auto"/>
        <w:right w:val="none" w:sz="0" w:space="0" w:color="auto"/>
      </w:divBdr>
    </w:div>
    <w:div w:id="121584177">
      <w:bodyDiv w:val="1"/>
      <w:marLeft w:val="0"/>
      <w:marRight w:val="0"/>
      <w:marTop w:val="0"/>
      <w:marBottom w:val="0"/>
      <w:divBdr>
        <w:top w:val="none" w:sz="0" w:space="0" w:color="auto"/>
        <w:left w:val="none" w:sz="0" w:space="0" w:color="auto"/>
        <w:bottom w:val="none" w:sz="0" w:space="0" w:color="auto"/>
        <w:right w:val="none" w:sz="0" w:space="0" w:color="auto"/>
      </w:divBdr>
    </w:div>
    <w:div w:id="123274309">
      <w:bodyDiv w:val="1"/>
      <w:marLeft w:val="0"/>
      <w:marRight w:val="0"/>
      <w:marTop w:val="0"/>
      <w:marBottom w:val="0"/>
      <w:divBdr>
        <w:top w:val="none" w:sz="0" w:space="0" w:color="auto"/>
        <w:left w:val="none" w:sz="0" w:space="0" w:color="auto"/>
        <w:bottom w:val="none" w:sz="0" w:space="0" w:color="auto"/>
        <w:right w:val="none" w:sz="0" w:space="0" w:color="auto"/>
      </w:divBdr>
    </w:div>
    <w:div w:id="124786153">
      <w:bodyDiv w:val="1"/>
      <w:marLeft w:val="0"/>
      <w:marRight w:val="0"/>
      <w:marTop w:val="0"/>
      <w:marBottom w:val="0"/>
      <w:divBdr>
        <w:top w:val="none" w:sz="0" w:space="0" w:color="auto"/>
        <w:left w:val="none" w:sz="0" w:space="0" w:color="auto"/>
        <w:bottom w:val="none" w:sz="0" w:space="0" w:color="auto"/>
        <w:right w:val="none" w:sz="0" w:space="0" w:color="auto"/>
      </w:divBdr>
    </w:div>
    <w:div w:id="125197182">
      <w:bodyDiv w:val="1"/>
      <w:marLeft w:val="0"/>
      <w:marRight w:val="0"/>
      <w:marTop w:val="0"/>
      <w:marBottom w:val="0"/>
      <w:divBdr>
        <w:top w:val="none" w:sz="0" w:space="0" w:color="auto"/>
        <w:left w:val="none" w:sz="0" w:space="0" w:color="auto"/>
        <w:bottom w:val="none" w:sz="0" w:space="0" w:color="auto"/>
        <w:right w:val="none" w:sz="0" w:space="0" w:color="auto"/>
      </w:divBdr>
    </w:div>
    <w:div w:id="136580396">
      <w:bodyDiv w:val="1"/>
      <w:marLeft w:val="0"/>
      <w:marRight w:val="0"/>
      <w:marTop w:val="0"/>
      <w:marBottom w:val="0"/>
      <w:divBdr>
        <w:top w:val="none" w:sz="0" w:space="0" w:color="auto"/>
        <w:left w:val="none" w:sz="0" w:space="0" w:color="auto"/>
        <w:bottom w:val="none" w:sz="0" w:space="0" w:color="auto"/>
        <w:right w:val="none" w:sz="0" w:space="0" w:color="auto"/>
      </w:divBdr>
    </w:div>
    <w:div w:id="145636157">
      <w:bodyDiv w:val="1"/>
      <w:marLeft w:val="0"/>
      <w:marRight w:val="0"/>
      <w:marTop w:val="0"/>
      <w:marBottom w:val="0"/>
      <w:divBdr>
        <w:top w:val="none" w:sz="0" w:space="0" w:color="auto"/>
        <w:left w:val="none" w:sz="0" w:space="0" w:color="auto"/>
        <w:bottom w:val="none" w:sz="0" w:space="0" w:color="auto"/>
        <w:right w:val="none" w:sz="0" w:space="0" w:color="auto"/>
      </w:divBdr>
    </w:div>
    <w:div w:id="146093580">
      <w:bodyDiv w:val="1"/>
      <w:marLeft w:val="0"/>
      <w:marRight w:val="0"/>
      <w:marTop w:val="0"/>
      <w:marBottom w:val="0"/>
      <w:divBdr>
        <w:top w:val="none" w:sz="0" w:space="0" w:color="auto"/>
        <w:left w:val="none" w:sz="0" w:space="0" w:color="auto"/>
        <w:bottom w:val="none" w:sz="0" w:space="0" w:color="auto"/>
        <w:right w:val="none" w:sz="0" w:space="0" w:color="auto"/>
      </w:divBdr>
    </w:div>
    <w:div w:id="146435229">
      <w:bodyDiv w:val="1"/>
      <w:marLeft w:val="0"/>
      <w:marRight w:val="0"/>
      <w:marTop w:val="0"/>
      <w:marBottom w:val="0"/>
      <w:divBdr>
        <w:top w:val="none" w:sz="0" w:space="0" w:color="auto"/>
        <w:left w:val="none" w:sz="0" w:space="0" w:color="auto"/>
        <w:bottom w:val="none" w:sz="0" w:space="0" w:color="auto"/>
        <w:right w:val="none" w:sz="0" w:space="0" w:color="auto"/>
      </w:divBdr>
    </w:div>
    <w:div w:id="148913430">
      <w:bodyDiv w:val="1"/>
      <w:marLeft w:val="0"/>
      <w:marRight w:val="0"/>
      <w:marTop w:val="0"/>
      <w:marBottom w:val="0"/>
      <w:divBdr>
        <w:top w:val="none" w:sz="0" w:space="0" w:color="auto"/>
        <w:left w:val="none" w:sz="0" w:space="0" w:color="auto"/>
        <w:bottom w:val="none" w:sz="0" w:space="0" w:color="auto"/>
        <w:right w:val="none" w:sz="0" w:space="0" w:color="auto"/>
      </w:divBdr>
    </w:div>
    <w:div w:id="151143577">
      <w:bodyDiv w:val="1"/>
      <w:marLeft w:val="0"/>
      <w:marRight w:val="0"/>
      <w:marTop w:val="0"/>
      <w:marBottom w:val="0"/>
      <w:divBdr>
        <w:top w:val="none" w:sz="0" w:space="0" w:color="auto"/>
        <w:left w:val="none" w:sz="0" w:space="0" w:color="auto"/>
        <w:bottom w:val="none" w:sz="0" w:space="0" w:color="auto"/>
        <w:right w:val="none" w:sz="0" w:space="0" w:color="auto"/>
      </w:divBdr>
    </w:div>
    <w:div w:id="151872884">
      <w:bodyDiv w:val="1"/>
      <w:marLeft w:val="0"/>
      <w:marRight w:val="0"/>
      <w:marTop w:val="0"/>
      <w:marBottom w:val="0"/>
      <w:divBdr>
        <w:top w:val="none" w:sz="0" w:space="0" w:color="auto"/>
        <w:left w:val="none" w:sz="0" w:space="0" w:color="auto"/>
        <w:bottom w:val="none" w:sz="0" w:space="0" w:color="auto"/>
        <w:right w:val="none" w:sz="0" w:space="0" w:color="auto"/>
      </w:divBdr>
    </w:div>
    <w:div w:id="162859527">
      <w:bodyDiv w:val="1"/>
      <w:marLeft w:val="0"/>
      <w:marRight w:val="0"/>
      <w:marTop w:val="0"/>
      <w:marBottom w:val="0"/>
      <w:divBdr>
        <w:top w:val="none" w:sz="0" w:space="0" w:color="auto"/>
        <w:left w:val="none" w:sz="0" w:space="0" w:color="auto"/>
        <w:bottom w:val="none" w:sz="0" w:space="0" w:color="auto"/>
        <w:right w:val="none" w:sz="0" w:space="0" w:color="auto"/>
      </w:divBdr>
    </w:div>
    <w:div w:id="179005909">
      <w:bodyDiv w:val="1"/>
      <w:marLeft w:val="0"/>
      <w:marRight w:val="0"/>
      <w:marTop w:val="0"/>
      <w:marBottom w:val="0"/>
      <w:divBdr>
        <w:top w:val="none" w:sz="0" w:space="0" w:color="auto"/>
        <w:left w:val="none" w:sz="0" w:space="0" w:color="auto"/>
        <w:bottom w:val="none" w:sz="0" w:space="0" w:color="auto"/>
        <w:right w:val="none" w:sz="0" w:space="0" w:color="auto"/>
      </w:divBdr>
    </w:div>
    <w:div w:id="184484771">
      <w:bodyDiv w:val="1"/>
      <w:marLeft w:val="0"/>
      <w:marRight w:val="0"/>
      <w:marTop w:val="0"/>
      <w:marBottom w:val="0"/>
      <w:divBdr>
        <w:top w:val="none" w:sz="0" w:space="0" w:color="auto"/>
        <w:left w:val="none" w:sz="0" w:space="0" w:color="auto"/>
        <w:bottom w:val="none" w:sz="0" w:space="0" w:color="auto"/>
        <w:right w:val="none" w:sz="0" w:space="0" w:color="auto"/>
      </w:divBdr>
    </w:div>
    <w:div w:id="189995829">
      <w:bodyDiv w:val="1"/>
      <w:marLeft w:val="0"/>
      <w:marRight w:val="0"/>
      <w:marTop w:val="0"/>
      <w:marBottom w:val="0"/>
      <w:divBdr>
        <w:top w:val="none" w:sz="0" w:space="0" w:color="auto"/>
        <w:left w:val="none" w:sz="0" w:space="0" w:color="auto"/>
        <w:bottom w:val="none" w:sz="0" w:space="0" w:color="auto"/>
        <w:right w:val="none" w:sz="0" w:space="0" w:color="auto"/>
      </w:divBdr>
    </w:div>
    <w:div w:id="201284401">
      <w:bodyDiv w:val="1"/>
      <w:marLeft w:val="0"/>
      <w:marRight w:val="0"/>
      <w:marTop w:val="0"/>
      <w:marBottom w:val="0"/>
      <w:divBdr>
        <w:top w:val="none" w:sz="0" w:space="0" w:color="auto"/>
        <w:left w:val="none" w:sz="0" w:space="0" w:color="auto"/>
        <w:bottom w:val="none" w:sz="0" w:space="0" w:color="auto"/>
        <w:right w:val="none" w:sz="0" w:space="0" w:color="auto"/>
      </w:divBdr>
    </w:div>
    <w:div w:id="203293866">
      <w:bodyDiv w:val="1"/>
      <w:marLeft w:val="0"/>
      <w:marRight w:val="0"/>
      <w:marTop w:val="0"/>
      <w:marBottom w:val="0"/>
      <w:divBdr>
        <w:top w:val="none" w:sz="0" w:space="0" w:color="auto"/>
        <w:left w:val="none" w:sz="0" w:space="0" w:color="auto"/>
        <w:bottom w:val="none" w:sz="0" w:space="0" w:color="auto"/>
        <w:right w:val="none" w:sz="0" w:space="0" w:color="auto"/>
      </w:divBdr>
    </w:div>
    <w:div w:id="203955797">
      <w:bodyDiv w:val="1"/>
      <w:marLeft w:val="0"/>
      <w:marRight w:val="0"/>
      <w:marTop w:val="0"/>
      <w:marBottom w:val="0"/>
      <w:divBdr>
        <w:top w:val="none" w:sz="0" w:space="0" w:color="auto"/>
        <w:left w:val="none" w:sz="0" w:space="0" w:color="auto"/>
        <w:bottom w:val="none" w:sz="0" w:space="0" w:color="auto"/>
        <w:right w:val="none" w:sz="0" w:space="0" w:color="auto"/>
      </w:divBdr>
    </w:div>
    <w:div w:id="208761071">
      <w:bodyDiv w:val="1"/>
      <w:marLeft w:val="0"/>
      <w:marRight w:val="0"/>
      <w:marTop w:val="0"/>
      <w:marBottom w:val="0"/>
      <w:divBdr>
        <w:top w:val="none" w:sz="0" w:space="0" w:color="auto"/>
        <w:left w:val="none" w:sz="0" w:space="0" w:color="auto"/>
        <w:bottom w:val="none" w:sz="0" w:space="0" w:color="auto"/>
        <w:right w:val="none" w:sz="0" w:space="0" w:color="auto"/>
      </w:divBdr>
    </w:div>
    <w:div w:id="218397662">
      <w:bodyDiv w:val="1"/>
      <w:marLeft w:val="0"/>
      <w:marRight w:val="0"/>
      <w:marTop w:val="0"/>
      <w:marBottom w:val="0"/>
      <w:divBdr>
        <w:top w:val="none" w:sz="0" w:space="0" w:color="auto"/>
        <w:left w:val="none" w:sz="0" w:space="0" w:color="auto"/>
        <w:bottom w:val="none" w:sz="0" w:space="0" w:color="auto"/>
        <w:right w:val="none" w:sz="0" w:space="0" w:color="auto"/>
      </w:divBdr>
    </w:div>
    <w:div w:id="218984477">
      <w:bodyDiv w:val="1"/>
      <w:marLeft w:val="0"/>
      <w:marRight w:val="0"/>
      <w:marTop w:val="0"/>
      <w:marBottom w:val="0"/>
      <w:divBdr>
        <w:top w:val="none" w:sz="0" w:space="0" w:color="auto"/>
        <w:left w:val="none" w:sz="0" w:space="0" w:color="auto"/>
        <w:bottom w:val="none" w:sz="0" w:space="0" w:color="auto"/>
        <w:right w:val="none" w:sz="0" w:space="0" w:color="auto"/>
      </w:divBdr>
    </w:div>
    <w:div w:id="220480111">
      <w:bodyDiv w:val="1"/>
      <w:marLeft w:val="0"/>
      <w:marRight w:val="0"/>
      <w:marTop w:val="0"/>
      <w:marBottom w:val="0"/>
      <w:divBdr>
        <w:top w:val="none" w:sz="0" w:space="0" w:color="auto"/>
        <w:left w:val="none" w:sz="0" w:space="0" w:color="auto"/>
        <w:bottom w:val="none" w:sz="0" w:space="0" w:color="auto"/>
        <w:right w:val="none" w:sz="0" w:space="0" w:color="auto"/>
      </w:divBdr>
    </w:div>
    <w:div w:id="243731246">
      <w:bodyDiv w:val="1"/>
      <w:marLeft w:val="0"/>
      <w:marRight w:val="0"/>
      <w:marTop w:val="0"/>
      <w:marBottom w:val="0"/>
      <w:divBdr>
        <w:top w:val="none" w:sz="0" w:space="0" w:color="auto"/>
        <w:left w:val="none" w:sz="0" w:space="0" w:color="auto"/>
        <w:bottom w:val="none" w:sz="0" w:space="0" w:color="auto"/>
        <w:right w:val="none" w:sz="0" w:space="0" w:color="auto"/>
      </w:divBdr>
    </w:div>
    <w:div w:id="245382928">
      <w:bodyDiv w:val="1"/>
      <w:marLeft w:val="0"/>
      <w:marRight w:val="0"/>
      <w:marTop w:val="0"/>
      <w:marBottom w:val="0"/>
      <w:divBdr>
        <w:top w:val="none" w:sz="0" w:space="0" w:color="auto"/>
        <w:left w:val="none" w:sz="0" w:space="0" w:color="auto"/>
        <w:bottom w:val="none" w:sz="0" w:space="0" w:color="auto"/>
        <w:right w:val="none" w:sz="0" w:space="0" w:color="auto"/>
      </w:divBdr>
    </w:div>
    <w:div w:id="247420600">
      <w:bodyDiv w:val="1"/>
      <w:marLeft w:val="0"/>
      <w:marRight w:val="0"/>
      <w:marTop w:val="0"/>
      <w:marBottom w:val="0"/>
      <w:divBdr>
        <w:top w:val="none" w:sz="0" w:space="0" w:color="auto"/>
        <w:left w:val="none" w:sz="0" w:space="0" w:color="auto"/>
        <w:bottom w:val="none" w:sz="0" w:space="0" w:color="auto"/>
        <w:right w:val="none" w:sz="0" w:space="0" w:color="auto"/>
      </w:divBdr>
    </w:div>
    <w:div w:id="247735556">
      <w:bodyDiv w:val="1"/>
      <w:marLeft w:val="0"/>
      <w:marRight w:val="0"/>
      <w:marTop w:val="0"/>
      <w:marBottom w:val="0"/>
      <w:divBdr>
        <w:top w:val="none" w:sz="0" w:space="0" w:color="auto"/>
        <w:left w:val="none" w:sz="0" w:space="0" w:color="auto"/>
        <w:bottom w:val="none" w:sz="0" w:space="0" w:color="auto"/>
        <w:right w:val="none" w:sz="0" w:space="0" w:color="auto"/>
      </w:divBdr>
    </w:div>
    <w:div w:id="252278675">
      <w:bodyDiv w:val="1"/>
      <w:marLeft w:val="0"/>
      <w:marRight w:val="0"/>
      <w:marTop w:val="0"/>
      <w:marBottom w:val="0"/>
      <w:divBdr>
        <w:top w:val="none" w:sz="0" w:space="0" w:color="auto"/>
        <w:left w:val="none" w:sz="0" w:space="0" w:color="auto"/>
        <w:bottom w:val="none" w:sz="0" w:space="0" w:color="auto"/>
        <w:right w:val="none" w:sz="0" w:space="0" w:color="auto"/>
      </w:divBdr>
    </w:div>
    <w:div w:id="252393910">
      <w:bodyDiv w:val="1"/>
      <w:marLeft w:val="0"/>
      <w:marRight w:val="0"/>
      <w:marTop w:val="0"/>
      <w:marBottom w:val="0"/>
      <w:divBdr>
        <w:top w:val="none" w:sz="0" w:space="0" w:color="auto"/>
        <w:left w:val="none" w:sz="0" w:space="0" w:color="auto"/>
        <w:bottom w:val="none" w:sz="0" w:space="0" w:color="auto"/>
        <w:right w:val="none" w:sz="0" w:space="0" w:color="auto"/>
      </w:divBdr>
    </w:div>
    <w:div w:id="253367669">
      <w:bodyDiv w:val="1"/>
      <w:marLeft w:val="0"/>
      <w:marRight w:val="0"/>
      <w:marTop w:val="0"/>
      <w:marBottom w:val="0"/>
      <w:divBdr>
        <w:top w:val="none" w:sz="0" w:space="0" w:color="auto"/>
        <w:left w:val="none" w:sz="0" w:space="0" w:color="auto"/>
        <w:bottom w:val="none" w:sz="0" w:space="0" w:color="auto"/>
        <w:right w:val="none" w:sz="0" w:space="0" w:color="auto"/>
      </w:divBdr>
    </w:div>
    <w:div w:id="259488261">
      <w:bodyDiv w:val="1"/>
      <w:marLeft w:val="0"/>
      <w:marRight w:val="0"/>
      <w:marTop w:val="0"/>
      <w:marBottom w:val="0"/>
      <w:divBdr>
        <w:top w:val="none" w:sz="0" w:space="0" w:color="auto"/>
        <w:left w:val="none" w:sz="0" w:space="0" w:color="auto"/>
        <w:bottom w:val="none" w:sz="0" w:space="0" w:color="auto"/>
        <w:right w:val="none" w:sz="0" w:space="0" w:color="auto"/>
      </w:divBdr>
    </w:div>
    <w:div w:id="259989773">
      <w:bodyDiv w:val="1"/>
      <w:marLeft w:val="0"/>
      <w:marRight w:val="0"/>
      <w:marTop w:val="0"/>
      <w:marBottom w:val="0"/>
      <w:divBdr>
        <w:top w:val="none" w:sz="0" w:space="0" w:color="auto"/>
        <w:left w:val="none" w:sz="0" w:space="0" w:color="auto"/>
        <w:bottom w:val="none" w:sz="0" w:space="0" w:color="auto"/>
        <w:right w:val="none" w:sz="0" w:space="0" w:color="auto"/>
      </w:divBdr>
    </w:div>
    <w:div w:id="265383852">
      <w:bodyDiv w:val="1"/>
      <w:marLeft w:val="0"/>
      <w:marRight w:val="0"/>
      <w:marTop w:val="0"/>
      <w:marBottom w:val="0"/>
      <w:divBdr>
        <w:top w:val="none" w:sz="0" w:space="0" w:color="auto"/>
        <w:left w:val="none" w:sz="0" w:space="0" w:color="auto"/>
        <w:bottom w:val="none" w:sz="0" w:space="0" w:color="auto"/>
        <w:right w:val="none" w:sz="0" w:space="0" w:color="auto"/>
      </w:divBdr>
    </w:div>
    <w:div w:id="266155192">
      <w:bodyDiv w:val="1"/>
      <w:marLeft w:val="0"/>
      <w:marRight w:val="0"/>
      <w:marTop w:val="0"/>
      <w:marBottom w:val="0"/>
      <w:divBdr>
        <w:top w:val="none" w:sz="0" w:space="0" w:color="auto"/>
        <w:left w:val="none" w:sz="0" w:space="0" w:color="auto"/>
        <w:bottom w:val="none" w:sz="0" w:space="0" w:color="auto"/>
        <w:right w:val="none" w:sz="0" w:space="0" w:color="auto"/>
      </w:divBdr>
    </w:div>
    <w:div w:id="270012105">
      <w:bodyDiv w:val="1"/>
      <w:marLeft w:val="0"/>
      <w:marRight w:val="0"/>
      <w:marTop w:val="0"/>
      <w:marBottom w:val="0"/>
      <w:divBdr>
        <w:top w:val="none" w:sz="0" w:space="0" w:color="auto"/>
        <w:left w:val="none" w:sz="0" w:space="0" w:color="auto"/>
        <w:bottom w:val="none" w:sz="0" w:space="0" w:color="auto"/>
        <w:right w:val="none" w:sz="0" w:space="0" w:color="auto"/>
      </w:divBdr>
    </w:div>
    <w:div w:id="270288766">
      <w:bodyDiv w:val="1"/>
      <w:marLeft w:val="0"/>
      <w:marRight w:val="0"/>
      <w:marTop w:val="0"/>
      <w:marBottom w:val="0"/>
      <w:divBdr>
        <w:top w:val="none" w:sz="0" w:space="0" w:color="auto"/>
        <w:left w:val="none" w:sz="0" w:space="0" w:color="auto"/>
        <w:bottom w:val="none" w:sz="0" w:space="0" w:color="auto"/>
        <w:right w:val="none" w:sz="0" w:space="0" w:color="auto"/>
      </w:divBdr>
    </w:div>
    <w:div w:id="270671330">
      <w:bodyDiv w:val="1"/>
      <w:marLeft w:val="0"/>
      <w:marRight w:val="0"/>
      <w:marTop w:val="0"/>
      <w:marBottom w:val="0"/>
      <w:divBdr>
        <w:top w:val="none" w:sz="0" w:space="0" w:color="auto"/>
        <w:left w:val="none" w:sz="0" w:space="0" w:color="auto"/>
        <w:bottom w:val="none" w:sz="0" w:space="0" w:color="auto"/>
        <w:right w:val="none" w:sz="0" w:space="0" w:color="auto"/>
      </w:divBdr>
    </w:div>
    <w:div w:id="289365589">
      <w:bodyDiv w:val="1"/>
      <w:marLeft w:val="0"/>
      <w:marRight w:val="0"/>
      <w:marTop w:val="0"/>
      <w:marBottom w:val="0"/>
      <w:divBdr>
        <w:top w:val="none" w:sz="0" w:space="0" w:color="auto"/>
        <w:left w:val="none" w:sz="0" w:space="0" w:color="auto"/>
        <w:bottom w:val="none" w:sz="0" w:space="0" w:color="auto"/>
        <w:right w:val="none" w:sz="0" w:space="0" w:color="auto"/>
      </w:divBdr>
    </w:div>
    <w:div w:id="296227292">
      <w:bodyDiv w:val="1"/>
      <w:marLeft w:val="0"/>
      <w:marRight w:val="0"/>
      <w:marTop w:val="0"/>
      <w:marBottom w:val="0"/>
      <w:divBdr>
        <w:top w:val="none" w:sz="0" w:space="0" w:color="auto"/>
        <w:left w:val="none" w:sz="0" w:space="0" w:color="auto"/>
        <w:bottom w:val="none" w:sz="0" w:space="0" w:color="auto"/>
        <w:right w:val="none" w:sz="0" w:space="0" w:color="auto"/>
      </w:divBdr>
    </w:div>
    <w:div w:id="305860803">
      <w:bodyDiv w:val="1"/>
      <w:marLeft w:val="0"/>
      <w:marRight w:val="0"/>
      <w:marTop w:val="0"/>
      <w:marBottom w:val="0"/>
      <w:divBdr>
        <w:top w:val="none" w:sz="0" w:space="0" w:color="auto"/>
        <w:left w:val="none" w:sz="0" w:space="0" w:color="auto"/>
        <w:bottom w:val="none" w:sz="0" w:space="0" w:color="auto"/>
        <w:right w:val="none" w:sz="0" w:space="0" w:color="auto"/>
      </w:divBdr>
    </w:div>
    <w:div w:id="306864468">
      <w:bodyDiv w:val="1"/>
      <w:marLeft w:val="0"/>
      <w:marRight w:val="0"/>
      <w:marTop w:val="0"/>
      <w:marBottom w:val="0"/>
      <w:divBdr>
        <w:top w:val="none" w:sz="0" w:space="0" w:color="auto"/>
        <w:left w:val="none" w:sz="0" w:space="0" w:color="auto"/>
        <w:bottom w:val="none" w:sz="0" w:space="0" w:color="auto"/>
        <w:right w:val="none" w:sz="0" w:space="0" w:color="auto"/>
      </w:divBdr>
    </w:div>
    <w:div w:id="311563353">
      <w:bodyDiv w:val="1"/>
      <w:marLeft w:val="0"/>
      <w:marRight w:val="0"/>
      <w:marTop w:val="0"/>
      <w:marBottom w:val="0"/>
      <w:divBdr>
        <w:top w:val="none" w:sz="0" w:space="0" w:color="auto"/>
        <w:left w:val="none" w:sz="0" w:space="0" w:color="auto"/>
        <w:bottom w:val="none" w:sz="0" w:space="0" w:color="auto"/>
        <w:right w:val="none" w:sz="0" w:space="0" w:color="auto"/>
      </w:divBdr>
    </w:div>
    <w:div w:id="315375440">
      <w:bodyDiv w:val="1"/>
      <w:marLeft w:val="0"/>
      <w:marRight w:val="0"/>
      <w:marTop w:val="0"/>
      <w:marBottom w:val="0"/>
      <w:divBdr>
        <w:top w:val="none" w:sz="0" w:space="0" w:color="auto"/>
        <w:left w:val="none" w:sz="0" w:space="0" w:color="auto"/>
        <w:bottom w:val="none" w:sz="0" w:space="0" w:color="auto"/>
        <w:right w:val="none" w:sz="0" w:space="0" w:color="auto"/>
      </w:divBdr>
    </w:div>
    <w:div w:id="315500471">
      <w:bodyDiv w:val="1"/>
      <w:marLeft w:val="0"/>
      <w:marRight w:val="0"/>
      <w:marTop w:val="0"/>
      <w:marBottom w:val="0"/>
      <w:divBdr>
        <w:top w:val="none" w:sz="0" w:space="0" w:color="auto"/>
        <w:left w:val="none" w:sz="0" w:space="0" w:color="auto"/>
        <w:bottom w:val="none" w:sz="0" w:space="0" w:color="auto"/>
        <w:right w:val="none" w:sz="0" w:space="0" w:color="auto"/>
      </w:divBdr>
    </w:div>
    <w:div w:id="323361314">
      <w:bodyDiv w:val="1"/>
      <w:marLeft w:val="0"/>
      <w:marRight w:val="0"/>
      <w:marTop w:val="0"/>
      <w:marBottom w:val="0"/>
      <w:divBdr>
        <w:top w:val="none" w:sz="0" w:space="0" w:color="auto"/>
        <w:left w:val="none" w:sz="0" w:space="0" w:color="auto"/>
        <w:bottom w:val="none" w:sz="0" w:space="0" w:color="auto"/>
        <w:right w:val="none" w:sz="0" w:space="0" w:color="auto"/>
      </w:divBdr>
    </w:div>
    <w:div w:id="325478349">
      <w:bodyDiv w:val="1"/>
      <w:marLeft w:val="0"/>
      <w:marRight w:val="0"/>
      <w:marTop w:val="0"/>
      <w:marBottom w:val="0"/>
      <w:divBdr>
        <w:top w:val="none" w:sz="0" w:space="0" w:color="auto"/>
        <w:left w:val="none" w:sz="0" w:space="0" w:color="auto"/>
        <w:bottom w:val="none" w:sz="0" w:space="0" w:color="auto"/>
        <w:right w:val="none" w:sz="0" w:space="0" w:color="auto"/>
      </w:divBdr>
    </w:div>
    <w:div w:id="338699341">
      <w:bodyDiv w:val="1"/>
      <w:marLeft w:val="0"/>
      <w:marRight w:val="0"/>
      <w:marTop w:val="0"/>
      <w:marBottom w:val="0"/>
      <w:divBdr>
        <w:top w:val="none" w:sz="0" w:space="0" w:color="auto"/>
        <w:left w:val="none" w:sz="0" w:space="0" w:color="auto"/>
        <w:bottom w:val="none" w:sz="0" w:space="0" w:color="auto"/>
        <w:right w:val="none" w:sz="0" w:space="0" w:color="auto"/>
      </w:divBdr>
    </w:div>
    <w:div w:id="340132849">
      <w:bodyDiv w:val="1"/>
      <w:marLeft w:val="0"/>
      <w:marRight w:val="0"/>
      <w:marTop w:val="0"/>
      <w:marBottom w:val="0"/>
      <w:divBdr>
        <w:top w:val="none" w:sz="0" w:space="0" w:color="auto"/>
        <w:left w:val="none" w:sz="0" w:space="0" w:color="auto"/>
        <w:bottom w:val="none" w:sz="0" w:space="0" w:color="auto"/>
        <w:right w:val="none" w:sz="0" w:space="0" w:color="auto"/>
      </w:divBdr>
    </w:div>
    <w:div w:id="343215264">
      <w:bodyDiv w:val="1"/>
      <w:marLeft w:val="0"/>
      <w:marRight w:val="0"/>
      <w:marTop w:val="0"/>
      <w:marBottom w:val="0"/>
      <w:divBdr>
        <w:top w:val="none" w:sz="0" w:space="0" w:color="auto"/>
        <w:left w:val="none" w:sz="0" w:space="0" w:color="auto"/>
        <w:bottom w:val="none" w:sz="0" w:space="0" w:color="auto"/>
        <w:right w:val="none" w:sz="0" w:space="0" w:color="auto"/>
      </w:divBdr>
    </w:div>
    <w:div w:id="344523473">
      <w:bodyDiv w:val="1"/>
      <w:marLeft w:val="0"/>
      <w:marRight w:val="0"/>
      <w:marTop w:val="0"/>
      <w:marBottom w:val="0"/>
      <w:divBdr>
        <w:top w:val="none" w:sz="0" w:space="0" w:color="auto"/>
        <w:left w:val="none" w:sz="0" w:space="0" w:color="auto"/>
        <w:bottom w:val="none" w:sz="0" w:space="0" w:color="auto"/>
        <w:right w:val="none" w:sz="0" w:space="0" w:color="auto"/>
      </w:divBdr>
    </w:div>
    <w:div w:id="344867969">
      <w:bodyDiv w:val="1"/>
      <w:marLeft w:val="0"/>
      <w:marRight w:val="0"/>
      <w:marTop w:val="0"/>
      <w:marBottom w:val="0"/>
      <w:divBdr>
        <w:top w:val="none" w:sz="0" w:space="0" w:color="auto"/>
        <w:left w:val="none" w:sz="0" w:space="0" w:color="auto"/>
        <w:bottom w:val="none" w:sz="0" w:space="0" w:color="auto"/>
        <w:right w:val="none" w:sz="0" w:space="0" w:color="auto"/>
      </w:divBdr>
    </w:div>
    <w:div w:id="345642791">
      <w:bodyDiv w:val="1"/>
      <w:marLeft w:val="0"/>
      <w:marRight w:val="0"/>
      <w:marTop w:val="0"/>
      <w:marBottom w:val="0"/>
      <w:divBdr>
        <w:top w:val="none" w:sz="0" w:space="0" w:color="auto"/>
        <w:left w:val="none" w:sz="0" w:space="0" w:color="auto"/>
        <w:bottom w:val="none" w:sz="0" w:space="0" w:color="auto"/>
        <w:right w:val="none" w:sz="0" w:space="0" w:color="auto"/>
      </w:divBdr>
    </w:div>
    <w:div w:id="347875925">
      <w:bodyDiv w:val="1"/>
      <w:marLeft w:val="0"/>
      <w:marRight w:val="0"/>
      <w:marTop w:val="0"/>
      <w:marBottom w:val="0"/>
      <w:divBdr>
        <w:top w:val="none" w:sz="0" w:space="0" w:color="auto"/>
        <w:left w:val="none" w:sz="0" w:space="0" w:color="auto"/>
        <w:bottom w:val="none" w:sz="0" w:space="0" w:color="auto"/>
        <w:right w:val="none" w:sz="0" w:space="0" w:color="auto"/>
      </w:divBdr>
    </w:div>
    <w:div w:id="360934079">
      <w:bodyDiv w:val="1"/>
      <w:marLeft w:val="0"/>
      <w:marRight w:val="0"/>
      <w:marTop w:val="0"/>
      <w:marBottom w:val="0"/>
      <w:divBdr>
        <w:top w:val="none" w:sz="0" w:space="0" w:color="auto"/>
        <w:left w:val="none" w:sz="0" w:space="0" w:color="auto"/>
        <w:bottom w:val="none" w:sz="0" w:space="0" w:color="auto"/>
        <w:right w:val="none" w:sz="0" w:space="0" w:color="auto"/>
      </w:divBdr>
    </w:div>
    <w:div w:id="367217730">
      <w:bodyDiv w:val="1"/>
      <w:marLeft w:val="0"/>
      <w:marRight w:val="0"/>
      <w:marTop w:val="0"/>
      <w:marBottom w:val="0"/>
      <w:divBdr>
        <w:top w:val="none" w:sz="0" w:space="0" w:color="auto"/>
        <w:left w:val="none" w:sz="0" w:space="0" w:color="auto"/>
        <w:bottom w:val="none" w:sz="0" w:space="0" w:color="auto"/>
        <w:right w:val="none" w:sz="0" w:space="0" w:color="auto"/>
      </w:divBdr>
    </w:div>
    <w:div w:id="372389571">
      <w:bodyDiv w:val="1"/>
      <w:marLeft w:val="0"/>
      <w:marRight w:val="0"/>
      <w:marTop w:val="0"/>
      <w:marBottom w:val="0"/>
      <w:divBdr>
        <w:top w:val="none" w:sz="0" w:space="0" w:color="auto"/>
        <w:left w:val="none" w:sz="0" w:space="0" w:color="auto"/>
        <w:bottom w:val="none" w:sz="0" w:space="0" w:color="auto"/>
        <w:right w:val="none" w:sz="0" w:space="0" w:color="auto"/>
      </w:divBdr>
    </w:div>
    <w:div w:id="376315815">
      <w:bodyDiv w:val="1"/>
      <w:marLeft w:val="0"/>
      <w:marRight w:val="0"/>
      <w:marTop w:val="0"/>
      <w:marBottom w:val="0"/>
      <w:divBdr>
        <w:top w:val="none" w:sz="0" w:space="0" w:color="auto"/>
        <w:left w:val="none" w:sz="0" w:space="0" w:color="auto"/>
        <w:bottom w:val="none" w:sz="0" w:space="0" w:color="auto"/>
        <w:right w:val="none" w:sz="0" w:space="0" w:color="auto"/>
      </w:divBdr>
    </w:div>
    <w:div w:id="377780463">
      <w:bodyDiv w:val="1"/>
      <w:marLeft w:val="0"/>
      <w:marRight w:val="0"/>
      <w:marTop w:val="0"/>
      <w:marBottom w:val="0"/>
      <w:divBdr>
        <w:top w:val="none" w:sz="0" w:space="0" w:color="auto"/>
        <w:left w:val="none" w:sz="0" w:space="0" w:color="auto"/>
        <w:bottom w:val="none" w:sz="0" w:space="0" w:color="auto"/>
        <w:right w:val="none" w:sz="0" w:space="0" w:color="auto"/>
      </w:divBdr>
    </w:div>
    <w:div w:id="389379944">
      <w:bodyDiv w:val="1"/>
      <w:marLeft w:val="0"/>
      <w:marRight w:val="0"/>
      <w:marTop w:val="0"/>
      <w:marBottom w:val="0"/>
      <w:divBdr>
        <w:top w:val="none" w:sz="0" w:space="0" w:color="auto"/>
        <w:left w:val="none" w:sz="0" w:space="0" w:color="auto"/>
        <w:bottom w:val="none" w:sz="0" w:space="0" w:color="auto"/>
        <w:right w:val="none" w:sz="0" w:space="0" w:color="auto"/>
      </w:divBdr>
    </w:div>
    <w:div w:id="391346616">
      <w:bodyDiv w:val="1"/>
      <w:marLeft w:val="0"/>
      <w:marRight w:val="0"/>
      <w:marTop w:val="0"/>
      <w:marBottom w:val="0"/>
      <w:divBdr>
        <w:top w:val="none" w:sz="0" w:space="0" w:color="auto"/>
        <w:left w:val="none" w:sz="0" w:space="0" w:color="auto"/>
        <w:bottom w:val="none" w:sz="0" w:space="0" w:color="auto"/>
        <w:right w:val="none" w:sz="0" w:space="0" w:color="auto"/>
      </w:divBdr>
    </w:div>
    <w:div w:id="404230787">
      <w:bodyDiv w:val="1"/>
      <w:marLeft w:val="0"/>
      <w:marRight w:val="0"/>
      <w:marTop w:val="0"/>
      <w:marBottom w:val="0"/>
      <w:divBdr>
        <w:top w:val="none" w:sz="0" w:space="0" w:color="auto"/>
        <w:left w:val="none" w:sz="0" w:space="0" w:color="auto"/>
        <w:bottom w:val="none" w:sz="0" w:space="0" w:color="auto"/>
        <w:right w:val="none" w:sz="0" w:space="0" w:color="auto"/>
      </w:divBdr>
    </w:div>
    <w:div w:id="405036307">
      <w:bodyDiv w:val="1"/>
      <w:marLeft w:val="0"/>
      <w:marRight w:val="0"/>
      <w:marTop w:val="0"/>
      <w:marBottom w:val="0"/>
      <w:divBdr>
        <w:top w:val="none" w:sz="0" w:space="0" w:color="auto"/>
        <w:left w:val="none" w:sz="0" w:space="0" w:color="auto"/>
        <w:bottom w:val="none" w:sz="0" w:space="0" w:color="auto"/>
        <w:right w:val="none" w:sz="0" w:space="0" w:color="auto"/>
      </w:divBdr>
    </w:div>
    <w:div w:id="420107470">
      <w:bodyDiv w:val="1"/>
      <w:marLeft w:val="0"/>
      <w:marRight w:val="0"/>
      <w:marTop w:val="0"/>
      <w:marBottom w:val="0"/>
      <w:divBdr>
        <w:top w:val="none" w:sz="0" w:space="0" w:color="auto"/>
        <w:left w:val="none" w:sz="0" w:space="0" w:color="auto"/>
        <w:bottom w:val="none" w:sz="0" w:space="0" w:color="auto"/>
        <w:right w:val="none" w:sz="0" w:space="0" w:color="auto"/>
      </w:divBdr>
    </w:div>
    <w:div w:id="428160666">
      <w:bodyDiv w:val="1"/>
      <w:marLeft w:val="0"/>
      <w:marRight w:val="0"/>
      <w:marTop w:val="0"/>
      <w:marBottom w:val="0"/>
      <w:divBdr>
        <w:top w:val="none" w:sz="0" w:space="0" w:color="auto"/>
        <w:left w:val="none" w:sz="0" w:space="0" w:color="auto"/>
        <w:bottom w:val="none" w:sz="0" w:space="0" w:color="auto"/>
        <w:right w:val="none" w:sz="0" w:space="0" w:color="auto"/>
      </w:divBdr>
    </w:div>
    <w:div w:id="435755632">
      <w:bodyDiv w:val="1"/>
      <w:marLeft w:val="0"/>
      <w:marRight w:val="0"/>
      <w:marTop w:val="0"/>
      <w:marBottom w:val="0"/>
      <w:divBdr>
        <w:top w:val="none" w:sz="0" w:space="0" w:color="auto"/>
        <w:left w:val="none" w:sz="0" w:space="0" w:color="auto"/>
        <w:bottom w:val="none" w:sz="0" w:space="0" w:color="auto"/>
        <w:right w:val="none" w:sz="0" w:space="0" w:color="auto"/>
      </w:divBdr>
    </w:div>
    <w:div w:id="437256738">
      <w:bodyDiv w:val="1"/>
      <w:marLeft w:val="0"/>
      <w:marRight w:val="0"/>
      <w:marTop w:val="0"/>
      <w:marBottom w:val="0"/>
      <w:divBdr>
        <w:top w:val="none" w:sz="0" w:space="0" w:color="auto"/>
        <w:left w:val="none" w:sz="0" w:space="0" w:color="auto"/>
        <w:bottom w:val="none" w:sz="0" w:space="0" w:color="auto"/>
        <w:right w:val="none" w:sz="0" w:space="0" w:color="auto"/>
      </w:divBdr>
    </w:div>
    <w:div w:id="437412356">
      <w:bodyDiv w:val="1"/>
      <w:marLeft w:val="0"/>
      <w:marRight w:val="0"/>
      <w:marTop w:val="0"/>
      <w:marBottom w:val="0"/>
      <w:divBdr>
        <w:top w:val="none" w:sz="0" w:space="0" w:color="auto"/>
        <w:left w:val="none" w:sz="0" w:space="0" w:color="auto"/>
        <w:bottom w:val="none" w:sz="0" w:space="0" w:color="auto"/>
        <w:right w:val="none" w:sz="0" w:space="0" w:color="auto"/>
      </w:divBdr>
    </w:div>
    <w:div w:id="438376050">
      <w:bodyDiv w:val="1"/>
      <w:marLeft w:val="0"/>
      <w:marRight w:val="0"/>
      <w:marTop w:val="0"/>
      <w:marBottom w:val="0"/>
      <w:divBdr>
        <w:top w:val="none" w:sz="0" w:space="0" w:color="auto"/>
        <w:left w:val="none" w:sz="0" w:space="0" w:color="auto"/>
        <w:bottom w:val="none" w:sz="0" w:space="0" w:color="auto"/>
        <w:right w:val="none" w:sz="0" w:space="0" w:color="auto"/>
      </w:divBdr>
    </w:div>
    <w:div w:id="440343349">
      <w:bodyDiv w:val="1"/>
      <w:marLeft w:val="0"/>
      <w:marRight w:val="0"/>
      <w:marTop w:val="0"/>
      <w:marBottom w:val="0"/>
      <w:divBdr>
        <w:top w:val="none" w:sz="0" w:space="0" w:color="auto"/>
        <w:left w:val="none" w:sz="0" w:space="0" w:color="auto"/>
        <w:bottom w:val="none" w:sz="0" w:space="0" w:color="auto"/>
        <w:right w:val="none" w:sz="0" w:space="0" w:color="auto"/>
      </w:divBdr>
    </w:div>
    <w:div w:id="449128939">
      <w:bodyDiv w:val="1"/>
      <w:marLeft w:val="0"/>
      <w:marRight w:val="0"/>
      <w:marTop w:val="0"/>
      <w:marBottom w:val="0"/>
      <w:divBdr>
        <w:top w:val="none" w:sz="0" w:space="0" w:color="auto"/>
        <w:left w:val="none" w:sz="0" w:space="0" w:color="auto"/>
        <w:bottom w:val="none" w:sz="0" w:space="0" w:color="auto"/>
        <w:right w:val="none" w:sz="0" w:space="0" w:color="auto"/>
      </w:divBdr>
    </w:div>
    <w:div w:id="452408644">
      <w:bodyDiv w:val="1"/>
      <w:marLeft w:val="0"/>
      <w:marRight w:val="0"/>
      <w:marTop w:val="0"/>
      <w:marBottom w:val="0"/>
      <w:divBdr>
        <w:top w:val="none" w:sz="0" w:space="0" w:color="auto"/>
        <w:left w:val="none" w:sz="0" w:space="0" w:color="auto"/>
        <w:bottom w:val="none" w:sz="0" w:space="0" w:color="auto"/>
        <w:right w:val="none" w:sz="0" w:space="0" w:color="auto"/>
      </w:divBdr>
    </w:div>
    <w:div w:id="458645844">
      <w:bodyDiv w:val="1"/>
      <w:marLeft w:val="0"/>
      <w:marRight w:val="0"/>
      <w:marTop w:val="0"/>
      <w:marBottom w:val="0"/>
      <w:divBdr>
        <w:top w:val="none" w:sz="0" w:space="0" w:color="auto"/>
        <w:left w:val="none" w:sz="0" w:space="0" w:color="auto"/>
        <w:bottom w:val="none" w:sz="0" w:space="0" w:color="auto"/>
        <w:right w:val="none" w:sz="0" w:space="0" w:color="auto"/>
      </w:divBdr>
    </w:div>
    <w:div w:id="459500337">
      <w:bodyDiv w:val="1"/>
      <w:marLeft w:val="0"/>
      <w:marRight w:val="0"/>
      <w:marTop w:val="0"/>
      <w:marBottom w:val="0"/>
      <w:divBdr>
        <w:top w:val="none" w:sz="0" w:space="0" w:color="auto"/>
        <w:left w:val="none" w:sz="0" w:space="0" w:color="auto"/>
        <w:bottom w:val="none" w:sz="0" w:space="0" w:color="auto"/>
        <w:right w:val="none" w:sz="0" w:space="0" w:color="auto"/>
      </w:divBdr>
    </w:div>
    <w:div w:id="461657402">
      <w:bodyDiv w:val="1"/>
      <w:marLeft w:val="0"/>
      <w:marRight w:val="0"/>
      <w:marTop w:val="0"/>
      <w:marBottom w:val="0"/>
      <w:divBdr>
        <w:top w:val="none" w:sz="0" w:space="0" w:color="auto"/>
        <w:left w:val="none" w:sz="0" w:space="0" w:color="auto"/>
        <w:bottom w:val="none" w:sz="0" w:space="0" w:color="auto"/>
        <w:right w:val="none" w:sz="0" w:space="0" w:color="auto"/>
      </w:divBdr>
    </w:div>
    <w:div w:id="466166897">
      <w:bodyDiv w:val="1"/>
      <w:marLeft w:val="0"/>
      <w:marRight w:val="0"/>
      <w:marTop w:val="0"/>
      <w:marBottom w:val="0"/>
      <w:divBdr>
        <w:top w:val="none" w:sz="0" w:space="0" w:color="auto"/>
        <w:left w:val="none" w:sz="0" w:space="0" w:color="auto"/>
        <w:bottom w:val="none" w:sz="0" w:space="0" w:color="auto"/>
        <w:right w:val="none" w:sz="0" w:space="0" w:color="auto"/>
      </w:divBdr>
    </w:div>
    <w:div w:id="469715427">
      <w:bodyDiv w:val="1"/>
      <w:marLeft w:val="0"/>
      <w:marRight w:val="0"/>
      <w:marTop w:val="0"/>
      <w:marBottom w:val="0"/>
      <w:divBdr>
        <w:top w:val="none" w:sz="0" w:space="0" w:color="auto"/>
        <w:left w:val="none" w:sz="0" w:space="0" w:color="auto"/>
        <w:bottom w:val="none" w:sz="0" w:space="0" w:color="auto"/>
        <w:right w:val="none" w:sz="0" w:space="0" w:color="auto"/>
      </w:divBdr>
    </w:div>
    <w:div w:id="474950628">
      <w:bodyDiv w:val="1"/>
      <w:marLeft w:val="0"/>
      <w:marRight w:val="0"/>
      <w:marTop w:val="0"/>
      <w:marBottom w:val="0"/>
      <w:divBdr>
        <w:top w:val="none" w:sz="0" w:space="0" w:color="auto"/>
        <w:left w:val="none" w:sz="0" w:space="0" w:color="auto"/>
        <w:bottom w:val="none" w:sz="0" w:space="0" w:color="auto"/>
        <w:right w:val="none" w:sz="0" w:space="0" w:color="auto"/>
      </w:divBdr>
    </w:div>
    <w:div w:id="499659113">
      <w:bodyDiv w:val="1"/>
      <w:marLeft w:val="0"/>
      <w:marRight w:val="0"/>
      <w:marTop w:val="0"/>
      <w:marBottom w:val="0"/>
      <w:divBdr>
        <w:top w:val="none" w:sz="0" w:space="0" w:color="auto"/>
        <w:left w:val="none" w:sz="0" w:space="0" w:color="auto"/>
        <w:bottom w:val="none" w:sz="0" w:space="0" w:color="auto"/>
        <w:right w:val="none" w:sz="0" w:space="0" w:color="auto"/>
      </w:divBdr>
    </w:div>
    <w:div w:id="502355499">
      <w:bodyDiv w:val="1"/>
      <w:marLeft w:val="0"/>
      <w:marRight w:val="0"/>
      <w:marTop w:val="0"/>
      <w:marBottom w:val="0"/>
      <w:divBdr>
        <w:top w:val="none" w:sz="0" w:space="0" w:color="auto"/>
        <w:left w:val="none" w:sz="0" w:space="0" w:color="auto"/>
        <w:bottom w:val="none" w:sz="0" w:space="0" w:color="auto"/>
        <w:right w:val="none" w:sz="0" w:space="0" w:color="auto"/>
      </w:divBdr>
    </w:div>
    <w:div w:id="503133515">
      <w:bodyDiv w:val="1"/>
      <w:marLeft w:val="0"/>
      <w:marRight w:val="0"/>
      <w:marTop w:val="0"/>
      <w:marBottom w:val="0"/>
      <w:divBdr>
        <w:top w:val="none" w:sz="0" w:space="0" w:color="auto"/>
        <w:left w:val="none" w:sz="0" w:space="0" w:color="auto"/>
        <w:bottom w:val="none" w:sz="0" w:space="0" w:color="auto"/>
        <w:right w:val="none" w:sz="0" w:space="0" w:color="auto"/>
      </w:divBdr>
    </w:div>
    <w:div w:id="503328335">
      <w:bodyDiv w:val="1"/>
      <w:marLeft w:val="0"/>
      <w:marRight w:val="0"/>
      <w:marTop w:val="0"/>
      <w:marBottom w:val="0"/>
      <w:divBdr>
        <w:top w:val="none" w:sz="0" w:space="0" w:color="auto"/>
        <w:left w:val="none" w:sz="0" w:space="0" w:color="auto"/>
        <w:bottom w:val="none" w:sz="0" w:space="0" w:color="auto"/>
        <w:right w:val="none" w:sz="0" w:space="0" w:color="auto"/>
      </w:divBdr>
    </w:div>
    <w:div w:id="503784933">
      <w:bodyDiv w:val="1"/>
      <w:marLeft w:val="0"/>
      <w:marRight w:val="0"/>
      <w:marTop w:val="0"/>
      <w:marBottom w:val="0"/>
      <w:divBdr>
        <w:top w:val="none" w:sz="0" w:space="0" w:color="auto"/>
        <w:left w:val="none" w:sz="0" w:space="0" w:color="auto"/>
        <w:bottom w:val="none" w:sz="0" w:space="0" w:color="auto"/>
        <w:right w:val="none" w:sz="0" w:space="0" w:color="auto"/>
      </w:divBdr>
    </w:div>
    <w:div w:id="506603739">
      <w:bodyDiv w:val="1"/>
      <w:marLeft w:val="0"/>
      <w:marRight w:val="0"/>
      <w:marTop w:val="0"/>
      <w:marBottom w:val="0"/>
      <w:divBdr>
        <w:top w:val="none" w:sz="0" w:space="0" w:color="auto"/>
        <w:left w:val="none" w:sz="0" w:space="0" w:color="auto"/>
        <w:bottom w:val="none" w:sz="0" w:space="0" w:color="auto"/>
        <w:right w:val="none" w:sz="0" w:space="0" w:color="auto"/>
      </w:divBdr>
    </w:div>
    <w:div w:id="507327132">
      <w:bodyDiv w:val="1"/>
      <w:marLeft w:val="0"/>
      <w:marRight w:val="0"/>
      <w:marTop w:val="0"/>
      <w:marBottom w:val="0"/>
      <w:divBdr>
        <w:top w:val="none" w:sz="0" w:space="0" w:color="auto"/>
        <w:left w:val="none" w:sz="0" w:space="0" w:color="auto"/>
        <w:bottom w:val="none" w:sz="0" w:space="0" w:color="auto"/>
        <w:right w:val="none" w:sz="0" w:space="0" w:color="auto"/>
      </w:divBdr>
    </w:div>
    <w:div w:id="508325782">
      <w:bodyDiv w:val="1"/>
      <w:marLeft w:val="0"/>
      <w:marRight w:val="0"/>
      <w:marTop w:val="0"/>
      <w:marBottom w:val="0"/>
      <w:divBdr>
        <w:top w:val="none" w:sz="0" w:space="0" w:color="auto"/>
        <w:left w:val="none" w:sz="0" w:space="0" w:color="auto"/>
        <w:bottom w:val="none" w:sz="0" w:space="0" w:color="auto"/>
        <w:right w:val="none" w:sz="0" w:space="0" w:color="auto"/>
      </w:divBdr>
    </w:div>
    <w:div w:id="513150323">
      <w:bodyDiv w:val="1"/>
      <w:marLeft w:val="0"/>
      <w:marRight w:val="0"/>
      <w:marTop w:val="0"/>
      <w:marBottom w:val="0"/>
      <w:divBdr>
        <w:top w:val="none" w:sz="0" w:space="0" w:color="auto"/>
        <w:left w:val="none" w:sz="0" w:space="0" w:color="auto"/>
        <w:bottom w:val="none" w:sz="0" w:space="0" w:color="auto"/>
        <w:right w:val="none" w:sz="0" w:space="0" w:color="auto"/>
      </w:divBdr>
    </w:div>
    <w:div w:id="522086838">
      <w:bodyDiv w:val="1"/>
      <w:marLeft w:val="0"/>
      <w:marRight w:val="0"/>
      <w:marTop w:val="0"/>
      <w:marBottom w:val="0"/>
      <w:divBdr>
        <w:top w:val="none" w:sz="0" w:space="0" w:color="auto"/>
        <w:left w:val="none" w:sz="0" w:space="0" w:color="auto"/>
        <w:bottom w:val="none" w:sz="0" w:space="0" w:color="auto"/>
        <w:right w:val="none" w:sz="0" w:space="0" w:color="auto"/>
      </w:divBdr>
    </w:div>
    <w:div w:id="522747473">
      <w:bodyDiv w:val="1"/>
      <w:marLeft w:val="0"/>
      <w:marRight w:val="0"/>
      <w:marTop w:val="0"/>
      <w:marBottom w:val="0"/>
      <w:divBdr>
        <w:top w:val="none" w:sz="0" w:space="0" w:color="auto"/>
        <w:left w:val="none" w:sz="0" w:space="0" w:color="auto"/>
        <w:bottom w:val="none" w:sz="0" w:space="0" w:color="auto"/>
        <w:right w:val="none" w:sz="0" w:space="0" w:color="auto"/>
      </w:divBdr>
    </w:div>
    <w:div w:id="524288453">
      <w:bodyDiv w:val="1"/>
      <w:marLeft w:val="0"/>
      <w:marRight w:val="0"/>
      <w:marTop w:val="0"/>
      <w:marBottom w:val="0"/>
      <w:divBdr>
        <w:top w:val="none" w:sz="0" w:space="0" w:color="auto"/>
        <w:left w:val="none" w:sz="0" w:space="0" w:color="auto"/>
        <w:bottom w:val="none" w:sz="0" w:space="0" w:color="auto"/>
        <w:right w:val="none" w:sz="0" w:space="0" w:color="auto"/>
      </w:divBdr>
    </w:div>
    <w:div w:id="526718247">
      <w:bodyDiv w:val="1"/>
      <w:marLeft w:val="0"/>
      <w:marRight w:val="0"/>
      <w:marTop w:val="0"/>
      <w:marBottom w:val="0"/>
      <w:divBdr>
        <w:top w:val="none" w:sz="0" w:space="0" w:color="auto"/>
        <w:left w:val="none" w:sz="0" w:space="0" w:color="auto"/>
        <w:bottom w:val="none" w:sz="0" w:space="0" w:color="auto"/>
        <w:right w:val="none" w:sz="0" w:space="0" w:color="auto"/>
      </w:divBdr>
    </w:div>
    <w:div w:id="527330403">
      <w:bodyDiv w:val="1"/>
      <w:marLeft w:val="0"/>
      <w:marRight w:val="0"/>
      <w:marTop w:val="0"/>
      <w:marBottom w:val="0"/>
      <w:divBdr>
        <w:top w:val="none" w:sz="0" w:space="0" w:color="auto"/>
        <w:left w:val="none" w:sz="0" w:space="0" w:color="auto"/>
        <w:bottom w:val="none" w:sz="0" w:space="0" w:color="auto"/>
        <w:right w:val="none" w:sz="0" w:space="0" w:color="auto"/>
      </w:divBdr>
    </w:div>
    <w:div w:id="527454920">
      <w:bodyDiv w:val="1"/>
      <w:marLeft w:val="0"/>
      <w:marRight w:val="0"/>
      <w:marTop w:val="0"/>
      <w:marBottom w:val="0"/>
      <w:divBdr>
        <w:top w:val="none" w:sz="0" w:space="0" w:color="auto"/>
        <w:left w:val="none" w:sz="0" w:space="0" w:color="auto"/>
        <w:bottom w:val="none" w:sz="0" w:space="0" w:color="auto"/>
        <w:right w:val="none" w:sz="0" w:space="0" w:color="auto"/>
      </w:divBdr>
    </w:div>
    <w:div w:id="532963712">
      <w:bodyDiv w:val="1"/>
      <w:marLeft w:val="0"/>
      <w:marRight w:val="0"/>
      <w:marTop w:val="0"/>
      <w:marBottom w:val="0"/>
      <w:divBdr>
        <w:top w:val="none" w:sz="0" w:space="0" w:color="auto"/>
        <w:left w:val="none" w:sz="0" w:space="0" w:color="auto"/>
        <w:bottom w:val="none" w:sz="0" w:space="0" w:color="auto"/>
        <w:right w:val="none" w:sz="0" w:space="0" w:color="auto"/>
      </w:divBdr>
    </w:div>
    <w:div w:id="537740660">
      <w:bodyDiv w:val="1"/>
      <w:marLeft w:val="0"/>
      <w:marRight w:val="0"/>
      <w:marTop w:val="0"/>
      <w:marBottom w:val="0"/>
      <w:divBdr>
        <w:top w:val="none" w:sz="0" w:space="0" w:color="auto"/>
        <w:left w:val="none" w:sz="0" w:space="0" w:color="auto"/>
        <w:bottom w:val="none" w:sz="0" w:space="0" w:color="auto"/>
        <w:right w:val="none" w:sz="0" w:space="0" w:color="auto"/>
      </w:divBdr>
    </w:div>
    <w:div w:id="540286420">
      <w:bodyDiv w:val="1"/>
      <w:marLeft w:val="0"/>
      <w:marRight w:val="0"/>
      <w:marTop w:val="0"/>
      <w:marBottom w:val="0"/>
      <w:divBdr>
        <w:top w:val="none" w:sz="0" w:space="0" w:color="auto"/>
        <w:left w:val="none" w:sz="0" w:space="0" w:color="auto"/>
        <w:bottom w:val="none" w:sz="0" w:space="0" w:color="auto"/>
        <w:right w:val="none" w:sz="0" w:space="0" w:color="auto"/>
      </w:divBdr>
    </w:div>
    <w:div w:id="543979370">
      <w:bodyDiv w:val="1"/>
      <w:marLeft w:val="0"/>
      <w:marRight w:val="0"/>
      <w:marTop w:val="0"/>
      <w:marBottom w:val="0"/>
      <w:divBdr>
        <w:top w:val="none" w:sz="0" w:space="0" w:color="auto"/>
        <w:left w:val="none" w:sz="0" w:space="0" w:color="auto"/>
        <w:bottom w:val="none" w:sz="0" w:space="0" w:color="auto"/>
        <w:right w:val="none" w:sz="0" w:space="0" w:color="auto"/>
      </w:divBdr>
    </w:div>
    <w:div w:id="550307011">
      <w:bodyDiv w:val="1"/>
      <w:marLeft w:val="0"/>
      <w:marRight w:val="0"/>
      <w:marTop w:val="0"/>
      <w:marBottom w:val="0"/>
      <w:divBdr>
        <w:top w:val="none" w:sz="0" w:space="0" w:color="auto"/>
        <w:left w:val="none" w:sz="0" w:space="0" w:color="auto"/>
        <w:bottom w:val="none" w:sz="0" w:space="0" w:color="auto"/>
        <w:right w:val="none" w:sz="0" w:space="0" w:color="auto"/>
      </w:divBdr>
    </w:div>
    <w:div w:id="551506785">
      <w:bodyDiv w:val="1"/>
      <w:marLeft w:val="0"/>
      <w:marRight w:val="0"/>
      <w:marTop w:val="0"/>
      <w:marBottom w:val="0"/>
      <w:divBdr>
        <w:top w:val="none" w:sz="0" w:space="0" w:color="auto"/>
        <w:left w:val="none" w:sz="0" w:space="0" w:color="auto"/>
        <w:bottom w:val="none" w:sz="0" w:space="0" w:color="auto"/>
        <w:right w:val="none" w:sz="0" w:space="0" w:color="auto"/>
      </w:divBdr>
    </w:div>
    <w:div w:id="559754335">
      <w:bodyDiv w:val="1"/>
      <w:marLeft w:val="0"/>
      <w:marRight w:val="0"/>
      <w:marTop w:val="0"/>
      <w:marBottom w:val="0"/>
      <w:divBdr>
        <w:top w:val="none" w:sz="0" w:space="0" w:color="auto"/>
        <w:left w:val="none" w:sz="0" w:space="0" w:color="auto"/>
        <w:bottom w:val="none" w:sz="0" w:space="0" w:color="auto"/>
        <w:right w:val="none" w:sz="0" w:space="0" w:color="auto"/>
      </w:divBdr>
    </w:div>
    <w:div w:id="560941729">
      <w:bodyDiv w:val="1"/>
      <w:marLeft w:val="0"/>
      <w:marRight w:val="0"/>
      <w:marTop w:val="0"/>
      <w:marBottom w:val="0"/>
      <w:divBdr>
        <w:top w:val="none" w:sz="0" w:space="0" w:color="auto"/>
        <w:left w:val="none" w:sz="0" w:space="0" w:color="auto"/>
        <w:bottom w:val="none" w:sz="0" w:space="0" w:color="auto"/>
        <w:right w:val="none" w:sz="0" w:space="0" w:color="auto"/>
      </w:divBdr>
    </w:div>
    <w:div w:id="565187571">
      <w:bodyDiv w:val="1"/>
      <w:marLeft w:val="0"/>
      <w:marRight w:val="0"/>
      <w:marTop w:val="0"/>
      <w:marBottom w:val="0"/>
      <w:divBdr>
        <w:top w:val="none" w:sz="0" w:space="0" w:color="auto"/>
        <w:left w:val="none" w:sz="0" w:space="0" w:color="auto"/>
        <w:bottom w:val="none" w:sz="0" w:space="0" w:color="auto"/>
        <w:right w:val="none" w:sz="0" w:space="0" w:color="auto"/>
      </w:divBdr>
    </w:div>
    <w:div w:id="571236835">
      <w:bodyDiv w:val="1"/>
      <w:marLeft w:val="0"/>
      <w:marRight w:val="0"/>
      <w:marTop w:val="0"/>
      <w:marBottom w:val="0"/>
      <w:divBdr>
        <w:top w:val="none" w:sz="0" w:space="0" w:color="auto"/>
        <w:left w:val="none" w:sz="0" w:space="0" w:color="auto"/>
        <w:bottom w:val="none" w:sz="0" w:space="0" w:color="auto"/>
        <w:right w:val="none" w:sz="0" w:space="0" w:color="auto"/>
      </w:divBdr>
    </w:div>
    <w:div w:id="574897297">
      <w:bodyDiv w:val="1"/>
      <w:marLeft w:val="0"/>
      <w:marRight w:val="0"/>
      <w:marTop w:val="0"/>
      <w:marBottom w:val="0"/>
      <w:divBdr>
        <w:top w:val="none" w:sz="0" w:space="0" w:color="auto"/>
        <w:left w:val="none" w:sz="0" w:space="0" w:color="auto"/>
        <w:bottom w:val="none" w:sz="0" w:space="0" w:color="auto"/>
        <w:right w:val="none" w:sz="0" w:space="0" w:color="auto"/>
      </w:divBdr>
    </w:div>
    <w:div w:id="575894169">
      <w:bodyDiv w:val="1"/>
      <w:marLeft w:val="0"/>
      <w:marRight w:val="0"/>
      <w:marTop w:val="0"/>
      <w:marBottom w:val="0"/>
      <w:divBdr>
        <w:top w:val="none" w:sz="0" w:space="0" w:color="auto"/>
        <w:left w:val="none" w:sz="0" w:space="0" w:color="auto"/>
        <w:bottom w:val="none" w:sz="0" w:space="0" w:color="auto"/>
        <w:right w:val="none" w:sz="0" w:space="0" w:color="auto"/>
      </w:divBdr>
    </w:div>
    <w:div w:id="577131189">
      <w:bodyDiv w:val="1"/>
      <w:marLeft w:val="0"/>
      <w:marRight w:val="0"/>
      <w:marTop w:val="0"/>
      <w:marBottom w:val="0"/>
      <w:divBdr>
        <w:top w:val="none" w:sz="0" w:space="0" w:color="auto"/>
        <w:left w:val="none" w:sz="0" w:space="0" w:color="auto"/>
        <w:bottom w:val="none" w:sz="0" w:space="0" w:color="auto"/>
        <w:right w:val="none" w:sz="0" w:space="0" w:color="auto"/>
      </w:divBdr>
    </w:div>
    <w:div w:id="589660080">
      <w:bodyDiv w:val="1"/>
      <w:marLeft w:val="0"/>
      <w:marRight w:val="0"/>
      <w:marTop w:val="0"/>
      <w:marBottom w:val="0"/>
      <w:divBdr>
        <w:top w:val="none" w:sz="0" w:space="0" w:color="auto"/>
        <w:left w:val="none" w:sz="0" w:space="0" w:color="auto"/>
        <w:bottom w:val="none" w:sz="0" w:space="0" w:color="auto"/>
        <w:right w:val="none" w:sz="0" w:space="0" w:color="auto"/>
      </w:divBdr>
    </w:div>
    <w:div w:id="600181868">
      <w:bodyDiv w:val="1"/>
      <w:marLeft w:val="0"/>
      <w:marRight w:val="0"/>
      <w:marTop w:val="0"/>
      <w:marBottom w:val="0"/>
      <w:divBdr>
        <w:top w:val="none" w:sz="0" w:space="0" w:color="auto"/>
        <w:left w:val="none" w:sz="0" w:space="0" w:color="auto"/>
        <w:bottom w:val="none" w:sz="0" w:space="0" w:color="auto"/>
        <w:right w:val="none" w:sz="0" w:space="0" w:color="auto"/>
      </w:divBdr>
    </w:div>
    <w:div w:id="600647781">
      <w:bodyDiv w:val="1"/>
      <w:marLeft w:val="0"/>
      <w:marRight w:val="0"/>
      <w:marTop w:val="0"/>
      <w:marBottom w:val="0"/>
      <w:divBdr>
        <w:top w:val="none" w:sz="0" w:space="0" w:color="auto"/>
        <w:left w:val="none" w:sz="0" w:space="0" w:color="auto"/>
        <w:bottom w:val="none" w:sz="0" w:space="0" w:color="auto"/>
        <w:right w:val="none" w:sz="0" w:space="0" w:color="auto"/>
      </w:divBdr>
    </w:div>
    <w:div w:id="604458132">
      <w:bodyDiv w:val="1"/>
      <w:marLeft w:val="0"/>
      <w:marRight w:val="0"/>
      <w:marTop w:val="0"/>
      <w:marBottom w:val="0"/>
      <w:divBdr>
        <w:top w:val="none" w:sz="0" w:space="0" w:color="auto"/>
        <w:left w:val="none" w:sz="0" w:space="0" w:color="auto"/>
        <w:bottom w:val="none" w:sz="0" w:space="0" w:color="auto"/>
        <w:right w:val="none" w:sz="0" w:space="0" w:color="auto"/>
      </w:divBdr>
    </w:div>
    <w:div w:id="606012620">
      <w:bodyDiv w:val="1"/>
      <w:marLeft w:val="0"/>
      <w:marRight w:val="0"/>
      <w:marTop w:val="0"/>
      <w:marBottom w:val="0"/>
      <w:divBdr>
        <w:top w:val="none" w:sz="0" w:space="0" w:color="auto"/>
        <w:left w:val="none" w:sz="0" w:space="0" w:color="auto"/>
        <w:bottom w:val="none" w:sz="0" w:space="0" w:color="auto"/>
        <w:right w:val="none" w:sz="0" w:space="0" w:color="auto"/>
      </w:divBdr>
    </w:div>
    <w:div w:id="621039535">
      <w:bodyDiv w:val="1"/>
      <w:marLeft w:val="0"/>
      <w:marRight w:val="0"/>
      <w:marTop w:val="0"/>
      <w:marBottom w:val="0"/>
      <w:divBdr>
        <w:top w:val="none" w:sz="0" w:space="0" w:color="auto"/>
        <w:left w:val="none" w:sz="0" w:space="0" w:color="auto"/>
        <w:bottom w:val="none" w:sz="0" w:space="0" w:color="auto"/>
        <w:right w:val="none" w:sz="0" w:space="0" w:color="auto"/>
      </w:divBdr>
    </w:div>
    <w:div w:id="622421752">
      <w:bodyDiv w:val="1"/>
      <w:marLeft w:val="0"/>
      <w:marRight w:val="0"/>
      <w:marTop w:val="0"/>
      <w:marBottom w:val="0"/>
      <w:divBdr>
        <w:top w:val="none" w:sz="0" w:space="0" w:color="auto"/>
        <w:left w:val="none" w:sz="0" w:space="0" w:color="auto"/>
        <w:bottom w:val="none" w:sz="0" w:space="0" w:color="auto"/>
        <w:right w:val="none" w:sz="0" w:space="0" w:color="auto"/>
      </w:divBdr>
    </w:div>
    <w:div w:id="631642835">
      <w:bodyDiv w:val="1"/>
      <w:marLeft w:val="0"/>
      <w:marRight w:val="0"/>
      <w:marTop w:val="0"/>
      <w:marBottom w:val="0"/>
      <w:divBdr>
        <w:top w:val="none" w:sz="0" w:space="0" w:color="auto"/>
        <w:left w:val="none" w:sz="0" w:space="0" w:color="auto"/>
        <w:bottom w:val="none" w:sz="0" w:space="0" w:color="auto"/>
        <w:right w:val="none" w:sz="0" w:space="0" w:color="auto"/>
      </w:divBdr>
    </w:div>
    <w:div w:id="633411223">
      <w:bodyDiv w:val="1"/>
      <w:marLeft w:val="0"/>
      <w:marRight w:val="0"/>
      <w:marTop w:val="0"/>
      <w:marBottom w:val="0"/>
      <w:divBdr>
        <w:top w:val="none" w:sz="0" w:space="0" w:color="auto"/>
        <w:left w:val="none" w:sz="0" w:space="0" w:color="auto"/>
        <w:bottom w:val="none" w:sz="0" w:space="0" w:color="auto"/>
        <w:right w:val="none" w:sz="0" w:space="0" w:color="auto"/>
      </w:divBdr>
    </w:div>
    <w:div w:id="633416044">
      <w:bodyDiv w:val="1"/>
      <w:marLeft w:val="0"/>
      <w:marRight w:val="0"/>
      <w:marTop w:val="0"/>
      <w:marBottom w:val="0"/>
      <w:divBdr>
        <w:top w:val="none" w:sz="0" w:space="0" w:color="auto"/>
        <w:left w:val="none" w:sz="0" w:space="0" w:color="auto"/>
        <w:bottom w:val="none" w:sz="0" w:space="0" w:color="auto"/>
        <w:right w:val="none" w:sz="0" w:space="0" w:color="auto"/>
      </w:divBdr>
    </w:div>
    <w:div w:id="633753103">
      <w:bodyDiv w:val="1"/>
      <w:marLeft w:val="0"/>
      <w:marRight w:val="0"/>
      <w:marTop w:val="0"/>
      <w:marBottom w:val="0"/>
      <w:divBdr>
        <w:top w:val="none" w:sz="0" w:space="0" w:color="auto"/>
        <w:left w:val="none" w:sz="0" w:space="0" w:color="auto"/>
        <w:bottom w:val="none" w:sz="0" w:space="0" w:color="auto"/>
        <w:right w:val="none" w:sz="0" w:space="0" w:color="auto"/>
      </w:divBdr>
    </w:div>
    <w:div w:id="635793083">
      <w:bodyDiv w:val="1"/>
      <w:marLeft w:val="0"/>
      <w:marRight w:val="0"/>
      <w:marTop w:val="0"/>
      <w:marBottom w:val="0"/>
      <w:divBdr>
        <w:top w:val="none" w:sz="0" w:space="0" w:color="auto"/>
        <w:left w:val="none" w:sz="0" w:space="0" w:color="auto"/>
        <w:bottom w:val="none" w:sz="0" w:space="0" w:color="auto"/>
        <w:right w:val="none" w:sz="0" w:space="0" w:color="auto"/>
      </w:divBdr>
    </w:div>
    <w:div w:id="638805897">
      <w:bodyDiv w:val="1"/>
      <w:marLeft w:val="0"/>
      <w:marRight w:val="0"/>
      <w:marTop w:val="0"/>
      <w:marBottom w:val="0"/>
      <w:divBdr>
        <w:top w:val="none" w:sz="0" w:space="0" w:color="auto"/>
        <w:left w:val="none" w:sz="0" w:space="0" w:color="auto"/>
        <w:bottom w:val="none" w:sz="0" w:space="0" w:color="auto"/>
        <w:right w:val="none" w:sz="0" w:space="0" w:color="auto"/>
      </w:divBdr>
    </w:div>
    <w:div w:id="638921738">
      <w:bodyDiv w:val="1"/>
      <w:marLeft w:val="0"/>
      <w:marRight w:val="0"/>
      <w:marTop w:val="0"/>
      <w:marBottom w:val="0"/>
      <w:divBdr>
        <w:top w:val="none" w:sz="0" w:space="0" w:color="auto"/>
        <w:left w:val="none" w:sz="0" w:space="0" w:color="auto"/>
        <w:bottom w:val="none" w:sz="0" w:space="0" w:color="auto"/>
        <w:right w:val="none" w:sz="0" w:space="0" w:color="auto"/>
      </w:divBdr>
    </w:div>
    <w:div w:id="641614933">
      <w:bodyDiv w:val="1"/>
      <w:marLeft w:val="0"/>
      <w:marRight w:val="0"/>
      <w:marTop w:val="0"/>
      <w:marBottom w:val="0"/>
      <w:divBdr>
        <w:top w:val="none" w:sz="0" w:space="0" w:color="auto"/>
        <w:left w:val="none" w:sz="0" w:space="0" w:color="auto"/>
        <w:bottom w:val="none" w:sz="0" w:space="0" w:color="auto"/>
        <w:right w:val="none" w:sz="0" w:space="0" w:color="auto"/>
      </w:divBdr>
    </w:div>
    <w:div w:id="643050281">
      <w:bodyDiv w:val="1"/>
      <w:marLeft w:val="0"/>
      <w:marRight w:val="0"/>
      <w:marTop w:val="0"/>
      <w:marBottom w:val="0"/>
      <w:divBdr>
        <w:top w:val="none" w:sz="0" w:space="0" w:color="auto"/>
        <w:left w:val="none" w:sz="0" w:space="0" w:color="auto"/>
        <w:bottom w:val="none" w:sz="0" w:space="0" w:color="auto"/>
        <w:right w:val="none" w:sz="0" w:space="0" w:color="auto"/>
      </w:divBdr>
    </w:div>
    <w:div w:id="646516211">
      <w:bodyDiv w:val="1"/>
      <w:marLeft w:val="0"/>
      <w:marRight w:val="0"/>
      <w:marTop w:val="0"/>
      <w:marBottom w:val="0"/>
      <w:divBdr>
        <w:top w:val="none" w:sz="0" w:space="0" w:color="auto"/>
        <w:left w:val="none" w:sz="0" w:space="0" w:color="auto"/>
        <w:bottom w:val="none" w:sz="0" w:space="0" w:color="auto"/>
        <w:right w:val="none" w:sz="0" w:space="0" w:color="auto"/>
      </w:divBdr>
    </w:div>
    <w:div w:id="646907352">
      <w:bodyDiv w:val="1"/>
      <w:marLeft w:val="0"/>
      <w:marRight w:val="0"/>
      <w:marTop w:val="0"/>
      <w:marBottom w:val="0"/>
      <w:divBdr>
        <w:top w:val="none" w:sz="0" w:space="0" w:color="auto"/>
        <w:left w:val="none" w:sz="0" w:space="0" w:color="auto"/>
        <w:bottom w:val="none" w:sz="0" w:space="0" w:color="auto"/>
        <w:right w:val="none" w:sz="0" w:space="0" w:color="auto"/>
      </w:divBdr>
    </w:div>
    <w:div w:id="647515345">
      <w:bodyDiv w:val="1"/>
      <w:marLeft w:val="0"/>
      <w:marRight w:val="0"/>
      <w:marTop w:val="0"/>
      <w:marBottom w:val="0"/>
      <w:divBdr>
        <w:top w:val="none" w:sz="0" w:space="0" w:color="auto"/>
        <w:left w:val="none" w:sz="0" w:space="0" w:color="auto"/>
        <w:bottom w:val="none" w:sz="0" w:space="0" w:color="auto"/>
        <w:right w:val="none" w:sz="0" w:space="0" w:color="auto"/>
      </w:divBdr>
    </w:div>
    <w:div w:id="647899849">
      <w:bodyDiv w:val="1"/>
      <w:marLeft w:val="0"/>
      <w:marRight w:val="0"/>
      <w:marTop w:val="0"/>
      <w:marBottom w:val="0"/>
      <w:divBdr>
        <w:top w:val="none" w:sz="0" w:space="0" w:color="auto"/>
        <w:left w:val="none" w:sz="0" w:space="0" w:color="auto"/>
        <w:bottom w:val="none" w:sz="0" w:space="0" w:color="auto"/>
        <w:right w:val="none" w:sz="0" w:space="0" w:color="auto"/>
      </w:divBdr>
    </w:div>
    <w:div w:id="648091625">
      <w:bodyDiv w:val="1"/>
      <w:marLeft w:val="0"/>
      <w:marRight w:val="0"/>
      <w:marTop w:val="0"/>
      <w:marBottom w:val="0"/>
      <w:divBdr>
        <w:top w:val="none" w:sz="0" w:space="0" w:color="auto"/>
        <w:left w:val="none" w:sz="0" w:space="0" w:color="auto"/>
        <w:bottom w:val="none" w:sz="0" w:space="0" w:color="auto"/>
        <w:right w:val="none" w:sz="0" w:space="0" w:color="auto"/>
      </w:divBdr>
    </w:div>
    <w:div w:id="648286780">
      <w:bodyDiv w:val="1"/>
      <w:marLeft w:val="0"/>
      <w:marRight w:val="0"/>
      <w:marTop w:val="0"/>
      <w:marBottom w:val="0"/>
      <w:divBdr>
        <w:top w:val="none" w:sz="0" w:space="0" w:color="auto"/>
        <w:left w:val="none" w:sz="0" w:space="0" w:color="auto"/>
        <w:bottom w:val="none" w:sz="0" w:space="0" w:color="auto"/>
        <w:right w:val="none" w:sz="0" w:space="0" w:color="auto"/>
      </w:divBdr>
    </w:div>
    <w:div w:id="652756332">
      <w:bodyDiv w:val="1"/>
      <w:marLeft w:val="0"/>
      <w:marRight w:val="0"/>
      <w:marTop w:val="0"/>
      <w:marBottom w:val="0"/>
      <w:divBdr>
        <w:top w:val="none" w:sz="0" w:space="0" w:color="auto"/>
        <w:left w:val="none" w:sz="0" w:space="0" w:color="auto"/>
        <w:bottom w:val="none" w:sz="0" w:space="0" w:color="auto"/>
        <w:right w:val="none" w:sz="0" w:space="0" w:color="auto"/>
      </w:divBdr>
    </w:div>
    <w:div w:id="656152567">
      <w:bodyDiv w:val="1"/>
      <w:marLeft w:val="0"/>
      <w:marRight w:val="0"/>
      <w:marTop w:val="0"/>
      <w:marBottom w:val="0"/>
      <w:divBdr>
        <w:top w:val="none" w:sz="0" w:space="0" w:color="auto"/>
        <w:left w:val="none" w:sz="0" w:space="0" w:color="auto"/>
        <w:bottom w:val="none" w:sz="0" w:space="0" w:color="auto"/>
        <w:right w:val="none" w:sz="0" w:space="0" w:color="auto"/>
      </w:divBdr>
    </w:div>
    <w:div w:id="658964865">
      <w:bodyDiv w:val="1"/>
      <w:marLeft w:val="0"/>
      <w:marRight w:val="0"/>
      <w:marTop w:val="0"/>
      <w:marBottom w:val="0"/>
      <w:divBdr>
        <w:top w:val="none" w:sz="0" w:space="0" w:color="auto"/>
        <w:left w:val="none" w:sz="0" w:space="0" w:color="auto"/>
        <w:bottom w:val="none" w:sz="0" w:space="0" w:color="auto"/>
        <w:right w:val="none" w:sz="0" w:space="0" w:color="auto"/>
      </w:divBdr>
    </w:div>
    <w:div w:id="663776390">
      <w:bodyDiv w:val="1"/>
      <w:marLeft w:val="0"/>
      <w:marRight w:val="0"/>
      <w:marTop w:val="0"/>
      <w:marBottom w:val="0"/>
      <w:divBdr>
        <w:top w:val="none" w:sz="0" w:space="0" w:color="auto"/>
        <w:left w:val="none" w:sz="0" w:space="0" w:color="auto"/>
        <w:bottom w:val="none" w:sz="0" w:space="0" w:color="auto"/>
        <w:right w:val="none" w:sz="0" w:space="0" w:color="auto"/>
      </w:divBdr>
    </w:div>
    <w:div w:id="665330803">
      <w:bodyDiv w:val="1"/>
      <w:marLeft w:val="0"/>
      <w:marRight w:val="0"/>
      <w:marTop w:val="0"/>
      <w:marBottom w:val="0"/>
      <w:divBdr>
        <w:top w:val="none" w:sz="0" w:space="0" w:color="auto"/>
        <w:left w:val="none" w:sz="0" w:space="0" w:color="auto"/>
        <w:bottom w:val="none" w:sz="0" w:space="0" w:color="auto"/>
        <w:right w:val="none" w:sz="0" w:space="0" w:color="auto"/>
      </w:divBdr>
    </w:div>
    <w:div w:id="683630885">
      <w:bodyDiv w:val="1"/>
      <w:marLeft w:val="0"/>
      <w:marRight w:val="0"/>
      <w:marTop w:val="0"/>
      <w:marBottom w:val="0"/>
      <w:divBdr>
        <w:top w:val="none" w:sz="0" w:space="0" w:color="auto"/>
        <w:left w:val="none" w:sz="0" w:space="0" w:color="auto"/>
        <w:bottom w:val="none" w:sz="0" w:space="0" w:color="auto"/>
        <w:right w:val="none" w:sz="0" w:space="0" w:color="auto"/>
      </w:divBdr>
    </w:div>
    <w:div w:id="703290568">
      <w:bodyDiv w:val="1"/>
      <w:marLeft w:val="0"/>
      <w:marRight w:val="0"/>
      <w:marTop w:val="0"/>
      <w:marBottom w:val="0"/>
      <w:divBdr>
        <w:top w:val="none" w:sz="0" w:space="0" w:color="auto"/>
        <w:left w:val="none" w:sz="0" w:space="0" w:color="auto"/>
        <w:bottom w:val="none" w:sz="0" w:space="0" w:color="auto"/>
        <w:right w:val="none" w:sz="0" w:space="0" w:color="auto"/>
      </w:divBdr>
    </w:div>
    <w:div w:id="712004345">
      <w:bodyDiv w:val="1"/>
      <w:marLeft w:val="0"/>
      <w:marRight w:val="0"/>
      <w:marTop w:val="0"/>
      <w:marBottom w:val="0"/>
      <w:divBdr>
        <w:top w:val="none" w:sz="0" w:space="0" w:color="auto"/>
        <w:left w:val="none" w:sz="0" w:space="0" w:color="auto"/>
        <w:bottom w:val="none" w:sz="0" w:space="0" w:color="auto"/>
        <w:right w:val="none" w:sz="0" w:space="0" w:color="auto"/>
      </w:divBdr>
    </w:div>
    <w:div w:id="712118398">
      <w:bodyDiv w:val="1"/>
      <w:marLeft w:val="0"/>
      <w:marRight w:val="0"/>
      <w:marTop w:val="0"/>
      <w:marBottom w:val="0"/>
      <w:divBdr>
        <w:top w:val="none" w:sz="0" w:space="0" w:color="auto"/>
        <w:left w:val="none" w:sz="0" w:space="0" w:color="auto"/>
        <w:bottom w:val="none" w:sz="0" w:space="0" w:color="auto"/>
        <w:right w:val="none" w:sz="0" w:space="0" w:color="auto"/>
      </w:divBdr>
    </w:div>
    <w:div w:id="719134558">
      <w:bodyDiv w:val="1"/>
      <w:marLeft w:val="0"/>
      <w:marRight w:val="0"/>
      <w:marTop w:val="0"/>
      <w:marBottom w:val="0"/>
      <w:divBdr>
        <w:top w:val="none" w:sz="0" w:space="0" w:color="auto"/>
        <w:left w:val="none" w:sz="0" w:space="0" w:color="auto"/>
        <w:bottom w:val="none" w:sz="0" w:space="0" w:color="auto"/>
        <w:right w:val="none" w:sz="0" w:space="0" w:color="auto"/>
      </w:divBdr>
    </w:div>
    <w:div w:id="722218739">
      <w:bodyDiv w:val="1"/>
      <w:marLeft w:val="0"/>
      <w:marRight w:val="0"/>
      <w:marTop w:val="0"/>
      <w:marBottom w:val="0"/>
      <w:divBdr>
        <w:top w:val="none" w:sz="0" w:space="0" w:color="auto"/>
        <w:left w:val="none" w:sz="0" w:space="0" w:color="auto"/>
        <w:bottom w:val="none" w:sz="0" w:space="0" w:color="auto"/>
        <w:right w:val="none" w:sz="0" w:space="0" w:color="auto"/>
      </w:divBdr>
    </w:div>
    <w:div w:id="735319703">
      <w:bodyDiv w:val="1"/>
      <w:marLeft w:val="0"/>
      <w:marRight w:val="0"/>
      <w:marTop w:val="0"/>
      <w:marBottom w:val="0"/>
      <w:divBdr>
        <w:top w:val="none" w:sz="0" w:space="0" w:color="auto"/>
        <w:left w:val="none" w:sz="0" w:space="0" w:color="auto"/>
        <w:bottom w:val="none" w:sz="0" w:space="0" w:color="auto"/>
        <w:right w:val="none" w:sz="0" w:space="0" w:color="auto"/>
      </w:divBdr>
    </w:div>
    <w:div w:id="738097591">
      <w:bodyDiv w:val="1"/>
      <w:marLeft w:val="0"/>
      <w:marRight w:val="0"/>
      <w:marTop w:val="0"/>
      <w:marBottom w:val="0"/>
      <w:divBdr>
        <w:top w:val="none" w:sz="0" w:space="0" w:color="auto"/>
        <w:left w:val="none" w:sz="0" w:space="0" w:color="auto"/>
        <w:bottom w:val="none" w:sz="0" w:space="0" w:color="auto"/>
        <w:right w:val="none" w:sz="0" w:space="0" w:color="auto"/>
      </w:divBdr>
    </w:div>
    <w:div w:id="753011114">
      <w:bodyDiv w:val="1"/>
      <w:marLeft w:val="0"/>
      <w:marRight w:val="0"/>
      <w:marTop w:val="0"/>
      <w:marBottom w:val="0"/>
      <w:divBdr>
        <w:top w:val="none" w:sz="0" w:space="0" w:color="auto"/>
        <w:left w:val="none" w:sz="0" w:space="0" w:color="auto"/>
        <w:bottom w:val="none" w:sz="0" w:space="0" w:color="auto"/>
        <w:right w:val="none" w:sz="0" w:space="0" w:color="auto"/>
      </w:divBdr>
    </w:div>
    <w:div w:id="758524676">
      <w:bodyDiv w:val="1"/>
      <w:marLeft w:val="0"/>
      <w:marRight w:val="0"/>
      <w:marTop w:val="0"/>
      <w:marBottom w:val="0"/>
      <w:divBdr>
        <w:top w:val="none" w:sz="0" w:space="0" w:color="auto"/>
        <w:left w:val="none" w:sz="0" w:space="0" w:color="auto"/>
        <w:bottom w:val="none" w:sz="0" w:space="0" w:color="auto"/>
        <w:right w:val="none" w:sz="0" w:space="0" w:color="auto"/>
      </w:divBdr>
    </w:div>
    <w:div w:id="759722293">
      <w:bodyDiv w:val="1"/>
      <w:marLeft w:val="0"/>
      <w:marRight w:val="0"/>
      <w:marTop w:val="0"/>
      <w:marBottom w:val="0"/>
      <w:divBdr>
        <w:top w:val="none" w:sz="0" w:space="0" w:color="auto"/>
        <w:left w:val="none" w:sz="0" w:space="0" w:color="auto"/>
        <w:bottom w:val="none" w:sz="0" w:space="0" w:color="auto"/>
        <w:right w:val="none" w:sz="0" w:space="0" w:color="auto"/>
      </w:divBdr>
    </w:div>
    <w:div w:id="763769413">
      <w:bodyDiv w:val="1"/>
      <w:marLeft w:val="0"/>
      <w:marRight w:val="0"/>
      <w:marTop w:val="0"/>
      <w:marBottom w:val="0"/>
      <w:divBdr>
        <w:top w:val="none" w:sz="0" w:space="0" w:color="auto"/>
        <w:left w:val="none" w:sz="0" w:space="0" w:color="auto"/>
        <w:bottom w:val="none" w:sz="0" w:space="0" w:color="auto"/>
        <w:right w:val="none" w:sz="0" w:space="0" w:color="auto"/>
      </w:divBdr>
    </w:div>
    <w:div w:id="764495926">
      <w:bodyDiv w:val="1"/>
      <w:marLeft w:val="0"/>
      <w:marRight w:val="0"/>
      <w:marTop w:val="0"/>
      <w:marBottom w:val="0"/>
      <w:divBdr>
        <w:top w:val="none" w:sz="0" w:space="0" w:color="auto"/>
        <w:left w:val="none" w:sz="0" w:space="0" w:color="auto"/>
        <w:bottom w:val="none" w:sz="0" w:space="0" w:color="auto"/>
        <w:right w:val="none" w:sz="0" w:space="0" w:color="auto"/>
      </w:divBdr>
    </w:div>
    <w:div w:id="764809512">
      <w:bodyDiv w:val="1"/>
      <w:marLeft w:val="0"/>
      <w:marRight w:val="0"/>
      <w:marTop w:val="0"/>
      <w:marBottom w:val="0"/>
      <w:divBdr>
        <w:top w:val="none" w:sz="0" w:space="0" w:color="auto"/>
        <w:left w:val="none" w:sz="0" w:space="0" w:color="auto"/>
        <w:bottom w:val="none" w:sz="0" w:space="0" w:color="auto"/>
        <w:right w:val="none" w:sz="0" w:space="0" w:color="auto"/>
      </w:divBdr>
    </w:div>
    <w:div w:id="777791634">
      <w:bodyDiv w:val="1"/>
      <w:marLeft w:val="0"/>
      <w:marRight w:val="0"/>
      <w:marTop w:val="0"/>
      <w:marBottom w:val="0"/>
      <w:divBdr>
        <w:top w:val="none" w:sz="0" w:space="0" w:color="auto"/>
        <w:left w:val="none" w:sz="0" w:space="0" w:color="auto"/>
        <w:bottom w:val="none" w:sz="0" w:space="0" w:color="auto"/>
        <w:right w:val="none" w:sz="0" w:space="0" w:color="auto"/>
      </w:divBdr>
    </w:div>
    <w:div w:id="778380150">
      <w:bodyDiv w:val="1"/>
      <w:marLeft w:val="0"/>
      <w:marRight w:val="0"/>
      <w:marTop w:val="0"/>
      <w:marBottom w:val="0"/>
      <w:divBdr>
        <w:top w:val="none" w:sz="0" w:space="0" w:color="auto"/>
        <w:left w:val="none" w:sz="0" w:space="0" w:color="auto"/>
        <w:bottom w:val="none" w:sz="0" w:space="0" w:color="auto"/>
        <w:right w:val="none" w:sz="0" w:space="0" w:color="auto"/>
      </w:divBdr>
    </w:div>
    <w:div w:id="779954780">
      <w:bodyDiv w:val="1"/>
      <w:marLeft w:val="0"/>
      <w:marRight w:val="0"/>
      <w:marTop w:val="0"/>
      <w:marBottom w:val="0"/>
      <w:divBdr>
        <w:top w:val="none" w:sz="0" w:space="0" w:color="auto"/>
        <w:left w:val="none" w:sz="0" w:space="0" w:color="auto"/>
        <w:bottom w:val="none" w:sz="0" w:space="0" w:color="auto"/>
        <w:right w:val="none" w:sz="0" w:space="0" w:color="auto"/>
      </w:divBdr>
    </w:div>
    <w:div w:id="779956315">
      <w:bodyDiv w:val="1"/>
      <w:marLeft w:val="0"/>
      <w:marRight w:val="0"/>
      <w:marTop w:val="0"/>
      <w:marBottom w:val="0"/>
      <w:divBdr>
        <w:top w:val="none" w:sz="0" w:space="0" w:color="auto"/>
        <w:left w:val="none" w:sz="0" w:space="0" w:color="auto"/>
        <w:bottom w:val="none" w:sz="0" w:space="0" w:color="auto"/>
        <w:right w:val="none" w:sz="0" w:space="0" w:color="auto"/>
      </w:divBdr>
    </w:div>
    <w:div w:id="790051743">
      <w:bodyDiv w:val="1"/>
      <w:marLeft w:val="0"/>
      <w:marRight w:val="0"/>
      <w:marTop w:val="0"/>
      <w:marBottom w:val="0"/>
      <w:divBdr>
        <w:top w:val="none" w:sz="0" w:space="0" w:color="auto"/>
        <w:left w:val="none" w:sz="0" w:space="0" w:color="auto"/>
        <w:bottom w:val="none" w:sz="0" w:space="0" w:color="auto"/>
        <w:right w:val="none" w:sz="0" w:space="0" w:color="auto"/>
      </w:divBdr>
    </w:div>
    <w:div w:id="796875338">
      <w:bodyDiv w:val="1"/>
      <w:marLeft w:val="0"/>
      <w:marRight w:val="0"/>
      <w:marTop w:val="0"/>
      <w:marBottom w:val="0"/>
      <w:divBdr>
        <w:top w:val="none" w:sz="0" w:space="0" w:color="auto"/>
        <w:left w:val="none" w:sz="0" w:space="0" w:color="auto"/>
        <w:bottom w:val="none" w:sz="0" w:space="0" w:color="auto"/>
        <w:right w:val="none" w:sz="0" w:space="0" w:color="auto"/>
      </w:divBdr>
    </w:div>
    <w:div w:id="800927067">
      <w:bodyDiv w:val="1"/>
      <w:marLeft w:val="0"/>
      <w:marRight w:val="0"/>
      <w:marTop w:val="0"/>
      <w:marBottom w:val="0"/>
      <w:divBdr>
        <w:top w:val="none" w:sz="0" w:space="0" w:color="auto"/>
        <w:left w:val="none" w:sz="0" w:space="0" w:color="auto"/>
        <w:bottom w:val="none" w:sz="0" w:space="0" w:color="auto"/>
        <w:right w:val="none" w:sz="0" w:space="0" w:color="auto"/>
      </w:divBdr>
    </w:div>
    <w:div w:id="802236422">
      <w:bodyDiv w:val="1"/>
      <w:marLeft w:val="0"/>
      <w:marRight w:val="0"/>
      <w:marTop w:val="0"/>
      <w:marBottom w:val="0"/>
      <w:divBdr>
        <w:top w:val="none" w:sz="0" w:space="0" w:color="auto"/>
        <w:left w:val="none" w:sz="0" w:space="0" w:color="auto"/>
        <w:bottom w:val="none" w:sz="0" w:space="0" w:color="auto"/>
        <w:right w:val="none" w:sz="0" w:space="0" w:color="auto"/>
      </w:divBdr>
    </w:div>
    <w:div w:id="804086612">
      <w:bodyDiv w:val="1"/>
      <w:marLeft w:val="0"/>
      <w:marRight w:val="0"/>
      <w:marTop w:val="0"/>
      <w:marBottom w:val="0"/>
      <w:divBdr>
        <w:top w:val="none" w:sz="0" w:space="0" w:color="auto"/>
        <w:left w:val="none" w:sz="0" w:space="0" w:color="auto"/>
        <w:bottom w:val="none" w:sz="0" w:space="0" w:color="auto"/>
        <w:right w:val="none" w:sz="0" w:space="0" w:color="auto"/>
      </w:divBdr>
    </w:div>
    <w:div w:id="804347727">
      <w:bodyDiv w:val="1"/>
      <w:marLeft w:val="0"/>
      <w:marRight w:val="0"/>
      <w:marTop w:val="0"/>
      <w:marBottom w:val="0"/>
      <w:divBdr>
        <w:top w:val="none" w:sz="0" w:space="0" w:color="auto"/>
        <w:left w:val="none" w:sz="0" w:space="0" w:color="auto"/>
        <w:bottom w:val="none" w:sz="0" w:space="0" w:color="auto"/>
        <w:right w:val="none" w:sz="0" w:space="0" w:color="auto"/>
      </w:divBdr>
    </w:div>
    <w:div w:id="807279263">
      <w:bodyDiv w:val="1"/>
      <w:marLeft w:val="0"/>
      <w:marRight w:val="0"/>
      <w:marTop w:val="0"/>
      <w:marBottom w:val="0"/>
      <w:divBdr>
        <w:top w:val="none" w:sz="0" w:space="0" w:color="auto"/>
        <w:left w:val="none" w:sz="0" w:space="0" w:color="auto"/>
        <w:bottom w:val="none" w:sz="0" w:space="0" w:color="auto"/>
        <w:right w:val="none" w:sz="0" w:space="0" w:color="auto"/>
      </w:divBdr>
    </w:div>
    <w:div w:id="820732061">
      <w:bodyDiv w:val="1"/>
      <w:marLeft w:val="0"/>
      <w:marRight w:val="0"/>
      <w:marTop w:val="0"/>
      <w:marBottom w:val="0"/>
      <w:divBdr>
        <w:top w:val="none" w:sz="0" w:space="0" w:color="auto"/>
        <w:left w:val="none" w:sz="0" w:space="0" w:color="auto"/>
        <w:bottom w:val="none" w:sz="0" w:space="0" w:color="auto"/>
        <w:right w:val="none" w:sz="0" w:space="0" w:color="auto"/>
      </w:divBdr>
    </w:div>
    <w:div w:id="826557033">
      <w:bodyDiv w:val="1"/>
      <w:marLeft w:val="0"/>
      <w:marRight w:val="0"/>
      <w:marTop w:val="0"/>
      <w:marBottom w:val="0"/>
      <w:divBdr>
        <w:top w:val="none" w:sz="0" w:space="0" w:color="auto"/>
        <w:left w:val="none" w:sz="0" w:space="0" w:color="auto"/>
        <w:bottom w:val="none" w:sz="0" w:space="0" w:color="auto"/>
        <w:right w:val="none" w:sz="0" w:space="0" w:color="auto"/>
      </w:divBdr>
    </w:div>
    <w:div w:id="840661974">
      <w:bodyDiv w:val="1"/>
      <w:marLeft w:val="0"/>
      <w:marRight w:val="0"/>
      <w:marTop w:val="0"/>
      <w:marBottom w:val="0"/>
      <w:divBdr>
        <w:top w:val="none" w:sz="0" w:space="0" w:color="auto"/>
        <w:left w:val="none" w:sz="0" w:space="0" w:color="auto"/>
        <w:bottom w:val="none" w:sz="0" w:space="0" w:color="auto"/>
        <w:right w:val="none" w:sz="0" w:space="0" w:color="auto"/>
      </w:divBdr>
    </w:div>
    <w:div w:id="842668441">
      <w:bodyDiv w:val="1"/>
      <w:marLeft w:val="0"/>
      <w:marRight w:val="0"/>
      <w:marTop w:val="0"/>
      <w:marBottom w:val="0"/>
      <w:divBdr>
        <w:top w:val="none" w:sz="0" w:space="0" w:color="auto"/>
        <w:left w:val="none" w:sz="0" w:space="0" w:color="auto"/>
        <w:bottom w:val="none" w:sz="0" w:space="0" w:color="auto"/>
        <w:right w:val="none" w:sz="0" w:space="0" w:color="auto"/>
      </w:divBdr>
    </w:div>
    <w:div w:id="849179183">
      <w:bodyDiv w:val="1"/>
      <w:marLeft w:val="0"/>
      <w:marRight w:val="0"/>
      <w:marTop w:val="0"/>
      <w:marBottom w:val="0"/>
      <w:divBdr>
        <w:top w:val="none" w:sz="0" w:space="0" w:color="auto"/>
        <w:left w:val="none" w:sz="0" w:space="0" w:color="auto"/>
        <w:bottom w:val="none" w:sz="0" w:space="0" w:color="auto"/>
        <w:right w:val="none" w:sz="0" w:space="0" w:color="auto"/>
      </w:divBdr>
    </w:div>
    <w:div w:id="865361795">
      <w:bodyDiv w:val="1"/>
      <w:marLeft w:val="0"/>
      <w:marRight w:val="0"/>
      <w:marTop w:val="0"/>
      <w:marBottom w:val="0"/>
      <w:divBdr>
        <w:top w:val="none" w:sz="0" w:space="0" w:color="auto"/>
        <w:left w:val="none" w:sz="0" w:space="0" w:color="auto"/>
        <w:bottom w:val="none" w:sz="0" w:space="0" w:color="auto"/>
        <w:right w:val="none" w:sz="0" w:space="0" w:color="auto"/>
      </w:divBdr>
    </w:div>
    <w:div w:id="867453357">
      <w:bodyDiv w:val="1"/>
      <w:marLeft w:val="0"/>
      <w:marRight w:val="0"/>
      <w:marTop w:val="0"/>
      <w:marBottom w:val="0"/>
      <w:divBdr>
        <w:top w:val="none" w:sz="0" w:space="0" w:color="auto"/>
        <w:left w:val="none" w:sz="0" w:space="0" w:color="auto"/>
        <w:bottom w:val="none" w:sz="0" w:space="0" w:color="auto"/>
        <w:right w:val="none" w:sz="0" w:space="0" w:color="auto"/>
      </w:divBdr>
    </w:div>
    <w:div w:id="872040933">
      <w:bodyDiv w:val="1"/>
      <w:marLeft w:val="0"/>
      <w:marRight w:val="0"/>
      <w:marTop w:val="0"/>
      <w:marBottom w:val="0"/>
      <w:divBdr>
        <w:top w:val="none" w:sz="0" w:space="0" w:color="auto"/>
        <w:left w:val="none" w:sz="0" w:space="0" w:color="auto"/>
        <w:bottom w:val="none" w:sz="0" w:space="0" w:color="auto"/>
        <w:right w:val="none" w:sz="0" w:space="0" w:color="auto"/>
      </w:divBdr>
    </w:div>
    <w:div w:id="872156333">
      <w:bodyDiv w:val="1"/>
      <w:marLeft w:val="0"/>
      <w:marRight w:val="0"/>
      <w:marTop w:val="0"/>
      <w:marBottom w:val="0"/>
      <w:divBdr>
        <w:top w:val="none" w:sz="0" w:space="0" w:color="auto"/>
        <w:left w:val="none" w:sz="0" w:space="0" w:color="auto"/>
        <w:bottom w:val="none" w:sz="0" w:space="0" w:color="auto"/>
        <w:right w:val="none" w:sz="0" w:space="0" w:color="auto"/>
      </w:divBdr>
    </w:div>
    <w:div w:id="872693951">
      <w:bodyDiv w:val="1"/>
      <w:marLeft w:val="0"/>
      <w:marRight w:val="0"/>
      <w:marTop w:val="0"/>
      <w:marBottom w:val="0"/>
      <w:divBdr>
        <w:top w:val="none" w:sz="0" w:space="0" w:color="auto"/>
        <w:left w:val="none" w:sz="0" w:space="0" w:color="auto"/>
        <w:bottom w:val="none" w:sz="0" w:space="0" w:color="auto"/>
        <w:right w:val="none" w:sz="0" w:space="0" w:color="auto"/>
      </w:divBdr>
    </w:div>
    <w:div w:id="889266750">
      <w:bodyDiv w:val="1"/>
      <w:marLeft w:val="0"/>
      <w:marRight w:val="0"/>
      <w:marTop w:val="0"/>
      <w:marBottom w:val="0"/>
      <w:divBdr>
        <w:top w:val="none" w:sz="0" w:space="0" w:color="auto"/>
        <w:left w:val="none" w:sz="0" w:space="0" w:color="auto"/>
        <w:bottom w:val="none" w:sz="0" w:space="0" w:color="auto"/>
        <w:right w:val="none" w:sz="0" w:space="0" w:color="auto"/>
      </w:divBdr>
    </w:div>
    <w:div w:id="894317294">
      <w:bodyDiv w:val="1"/>
      <w:marLeft w:val="0"/>
      <w:marRight w:val="0"/>
      <w:marTop w:val="0"/>
      <w:marBottom w:val="0"/>
      <w:divBdr>
        <w:top w:val="none" w:sz="0" w:space="0" w:color="auto"/>
        <w:left w:val="none" w:sz="0" w:space="0" w:color="auto"/>
        <w:bottom w:val="none" w:sz="0" w:space="0" w:color="auto"/>
        <w:right w:val="none" w:sz="0" w:space="0" w:color="auto"/>
      </w:divBdr>
    </w:div>
    <w:div w:id="894509659">
      <w:bodyDiv w:val="1"/>
      <w:marLeft w:val="0"/>
      <w:marRight w:val="0"/>
      <w:marTop w:val="0"/>
      <w:marBottom w:val="0"/>
      <w:divBdr>
        <w:top w:val="none" w:sz="0" w:space="0" w:color="auto"/>
        <w:left w:val="none" w:sz="0" w:space="0" w:color="auto"/>
        <w:bottom w:val="none" w:sz="0" w:space="0" w:color="auto"/>
        <w:right w:val="none" w:sz="0" w:space="0" w:color="auto"/>
      </w:divBdr>
    </w:div>
    <w:div w:id="897015703">
      <w:bodyDiv w:val="1"/>
      <w:marLeft w:val="0"/>
      <w:marRight w:val="0"/>
      <w:marTop w:val="0"/>
      <w:marBottom w:val="0"/>
      <w:divBdr>
        <w:top w:val="none" w:sz="0" w:space="0" w:color="auto"/>
        <w:left w:val="none" w:sz="0" w:space="0" w:color="auto"/>
        <w:bottom w:val="none" w:sz="0" w:space="0" w:color="auto"/>
        <w:right w:val="none" w:sz="0" w:space="0" w:color="auto"/>
      </w:divBdr>
    </w:div>
    <w:div w:id="897858476">
      <w:bodyDiv w:val="1"/>
      <w:marLeft w:val="0"/>
      <w:marRight w:val="0"/>
      <w:marTop w:val="0"/>
      <w:marBottom w:val="0"/>
      <w:divBdr>
        <w:top w:val="none" w:sz="0" w:space="0" w:color="auto"/>
        <w:left w:val="none" w:sz="0" w:space="0" w:color="auto"/>
        <w:bottom w:val="none" w:sz="0" w:space="0" w:color="auto"/>
        <w:right w:val="none" w:sz="0" w:space="0" w:color="auto"/>
      </w:divBdr>
    </w:div>
    <w:div w:id="901407445">
      <w:bodyDiv w:val="1"/>
      <w:marLeft w:val="0"/>
      <w:marRight w:val="0"/>
      <w:marTop w:val="0"/>
      <w:marBottom w:val="0"/>
      <w:divBdr>
        <w:top w:val="none" w:sz="0" w:space="0" w:color="auto"/>
        <w:left w:val="none" w:sz="0" w:space="0" w:color="auto"/>
        <w:bottom w:val="none" w:sz="0" w:space="0" w:color="auto"/>
        <w:right w:val="none" w:sz="0" w:space="0" w:color="auto"/>
      </w:divBdr>
    </w:div>
    <w:div w:id="903107231">
      <w:bodyDiv w:val="1"/>
      <w:marLeft w:val="0"/>
      <w:marRight w:val="0"/>
      <w:marTop w:val="0"/>
      <w:marBottom w:val="0"/>
      <w:divBdr>
        <w:top w:val="none" w:sz="0" w:space="0" w:color="auto"/>
        <w:left w:val="none" w:sz="0" w:space="0" w:color="auto"/>
        <w:bottom w:val="none" w:sz="0" w:space="0" w:color="auto"/>
        <w:right w:val="none" w:sz="0" w:space="0" w:color="auto"/>
      </w:divBdr>
    </w:div>
    <w:div w:id="909115632">
      <w:bodyDiv w:val="1"/>
      <w:marLeft w:val="0"/>
      <w:marRight w:val="0"/>
      <w:marTop w:val="0"/>
      <w:marBottom w:val="0"/>
      <w:divBdr>
        <w:top w:val="none" w:sz="0" w:space="0" w:color="auto"/>
        <w:left w:val="none" w:sz="0" w:space="0" w:color="auto"/>
        <w:bottom w:val="none" w:sz="0" w:space="0" w:color="auto"/>
        <w:right w:val="none" w:sz="0" w:space="0" w:color="auto"/>
      </w:divBdr>
    </w:div>
    <w:div w:id="909775856">
      <w:bodyDiv w:val="1"/>
      <w:marLeft w:val="0"/>
      <w:marRight w:val="0"/>
      <w:marTop w:val="0"/>
      <w:marBottom w:val="0"/>
      <w:divBdr>
        <w:top w:val="none" w:sz="0" w:space="0" w:color="auto"/>
        <w:left w:val="none" w:sz="0" w:space="0" w:color="auto"/>
        <w:bottom w:val="none" w:sz="0" w:space="0" w:color="auto"/>
        <w:right w:val="none" w:sz="0" w:space="0" w:color="auto"/>
      </w:divBdr>
    </w:div>
    <w:div w:id="919410738">
      <w:bodyDiv w:val="1"/>
      <w:marLeft w:val="0"/>
      <w:marRight w:val="0"/>
      <w:marTop w:val="0"/>
      <w:marBottom w:val="0"/>
      <w:divBdr>
        <w:top w:val="none" w:sz="0" w:space="0" w:color="auto"/>
        <w:left w:val="none" w:sz="0" w:space="0" w:color="auto"/>
        <w:bottom w:val="none" w:sz="0" w:space="0" w:color="auto"/>
        <w:right w:val="none" w:sz="0" w:space="0" w:color="auto"/>
      </w:divBdr>
    </w:div>
    <w:div w:id="927424211">
      <w:bodyDiv w:val="1"/>
      <w:marLeft w:val="0"/>
      <w:marRight w:val="0"/>
      <w:marTop w:val="0"/>
      <w:marBottom w:val="0"/>
      <w:divBdr>
        <w:top w:val="none" w:sz="0" w:space="0" w:color="auto"/>
        <w:left w:val="none" w:sz="0" w:space="0" w:color="auto"/>
        <w:bottom w:val="none" w:sz="0" w:space="0" w:color="auto"/>
        <w:right w:val="none" w:sz="0" w:space="0" w:color="auto"/>
      </w:divBdr>
    </w:div>
    <w:div w:id="928269470">
      <w:bodyDiv w:val="1"/>
      <w:marLeft w:val="0"/>
      <w:marRight w:val="0"/>
      <w:marTop w:val="0"/>
      <w:marBottom w:val="0"/>
      <w:divBdr>
        <w:top w:val="none" w:sz="0" w:space="0" w:color="auto"/>
        <w:left w:val="none" w:sz="0" w:space="0" w:color="auto"/>
        <w:bottom w:val="none" w:sz="0" w:space="0" w:color="auto"/>
        <w:right w:val="none" w:sz="0" w:space="0" w:color="auto"/>
      </w:divBdr>
    </w:div>
    <w:div w:id="93193089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934291357">
      <w:bodyDiv w:val="1"/>
      <w:marLeft w:val="0"/>
      <w:marRight w:val="0"/>
      <w:marTop w:val="0"/>
      <w:marBottom w:val="0"/>
      <w:divBdr>
        <w:top w:val="none" w:sz="0" w:space="0" w:color="auto"/>
        <w:left w:val="none" w:sz="0" w:space="0" w:color="auto"/>
        <w:bottom w:val="none" w:sz="0" w:space="0" w:color="auto"/>
        <w:right w:val="none" w:sz="0" w:space="0" w:color="auto"/>
      </w:divBdr>
    </w:div>
    <w:div w:id="935290057">
      <w:bodyDiv w:val="1"/>
      <w:marLeft w:val="0"/>
      <w:marRight w:val="0"/>
      <w:marTop w:val="0"/>
      <w:marBottom w:val="0"/>
      <w:divBdr>
        <w:top w:val="none" w:sz="0" w:space="0" w:color="auto"/>
        <w:left w:val="none" w:sz="0" w:space="0" w:color="auto"/>
        <w:bottom w:val="none" w:sz="0" w:space="0" w:color="auto"/>
        <w:right w:val="none" w:sz="0" w:space="0" w:color="auto"/>
      </w:divBdr>
    </w:div>
    <w:div w:id="939946529">
      <w:bodyDiv w:val="1"/>
      <w:marLeft w:val="0"/>
      <w:marRight w:val="0"/>
      <w:marTop w:val="0"/>
      <w:marBottom w:val="0"/>
      <w:divBdr>
        <w:top w:val="none" w:sz="0" w:space="0" w:color="auto"/>
        <w:left w:val="none" w:sz="0" w:space="0" w:color="auto"/>
        <w:bottom w:val="none" w:sz="0" w:space="0" w:color="auto"/>
        <w:right w:val="none" w:sz="0" w:space="0" w:color="auto"/>
      </w:divBdr>
    </w:div>
    <w:div w:id="944192211">
      <w:bodyDiv w:val="1"/>
      <w:marLeft w:val="0"/>
      <w:marRight w:val="0"/>
      <w:marTop w:val="0"/>
      <w:marBottom w:val="0"/>
      <w:divBdr>
        <w:top w:val="none" w:sz="0" w:space="0" w:color="auto"/>
        <w:left w:val="none" w:sz="0" w:space="0" w:color="auto"/>
        <w:bottom w:val="none" w:sz="0" w:space="0" w:color="auto"/>
        <w:right w:val="none" w:sz="0" w:space="0" w:color="auto"/>
      </w:divBdr>
    </w:div>
    <w:div w:id="947589170">
      <w:bodyDiv w:val="1"/>
      <w:marLeft w:val="0"/>
      <w:marRight w:val="0"/>
      <w:marTop w:val="0"/>
      <w:marBottom w:val="0"/>
      <w:divBdr>
        <w:top w:val="none" w:sz="0" w:space="0" w:color="auto"/>
        <w:left w:val="none" w:sz="0" w:space="0" w:color="auto"/>
        <w:bottom w:val="none" w:sz="0" w:space="0" w:color="auto"/>
        <w:right w:val="none" w:sz="0" w:space="0" w:color="auto"/>
      </w:divBdr>
    </w:div>
    <w:div w:id="949169157">
      <w:bodyDiv w:val="1"/>
      <w:marLeft w:val="0"/>
      <w:marRight w:val="0"/>
      <w:marTop w:val="0"/>
      <w:marBottom w:val="0"/>
      <w:divBdr>
        <w:top w:val="none" w:sz="0" w:space="0" w:color="auto"/>
        <w:left w:val="none" w:sz="0" w:space="0" w:color="auto"/>
        <w:bottom w:val="none" w:sz="0" w:space="0" w:color="auto"/>
        <w:right w:val="none" w:sz="0" w:space="0" w:color="auto"/>
      </w:divBdr>
    </w:div>
    <w:div w:id="954409413">
      <w:bodyDiv w:val="1"/>
      <w:marLeft w:val="0"/>
      <w:marRight w:val="0"/>
      <w:marTop w:val="0"/>
      <w:marBottom w:val="0"/>
      <w:divBdr>
        <w:top w:val="none" w:sz="0" w:space="0" w:color="auto"/>
        <w:left w:val="none" w:sz="0" w:space="0" w:color="auto"/>
        <w:bottom w:val="none" w:sz="0" w:space="0" w:color="auto"/>
        <w:right w:val="none" w:sz="0" w:space="0" w:color="auto"/>
      </w:divBdr>
    </w:div>
    <w:div w:id="955597114">
      <w:bodyDiv w:val="1"/>
      <w:marLeft w:val="0"/>
      <w:marRight w:val="0"/>
      <w:marTop w:val="0"/>
      <w:marBottom w:val="0"/>
      <w:divBdr>
        <w:top w:val="none" w:sz="0" w:space="0" w:color="auto"/>
        <w:left w:val="none" w:sz="0" w:space="0" w:color="auto"/>
        <w:bottom w:val="none" w:sz="0" w:space="0" w:color="auto"/>
        <w:right w:val="none" w:sz="0" w:space="0" w:color="auto"/>
      </w:divBdr>
    </w:div>
    <w:div w:id="955909961">
      <w:bodyDiv w:val="1"/>
      <w:marLeft w:val="0"/>
      <w:marRight w:val="0"/>
      <w:marTop w:val="0"/>
      <w:marBottom w:val="0"/>
      <w:divBdr>
        <w:top w:val="none" w:sz="0" w:space="0" w:color="auto"/>
        <w:left w:val="none" w:sz="0" w:space="0" w:color="auto"/>
        <w:bottom w:val="none" w:sz="0" w:space="0" w:color="auto"/>
        <w:right w:val="none" w:sz="0" w:space="0" w:color="auto"/>
      </w:divBdr>
    </w:div>
    <w:div w:id="961838900">
      <w:bodyDiv w:val="1"/>
      <w:marLeft w:val="0"/>
      <w:marRight w:val="0"/>
      <w:marTop w:val="0"/>
      <w:marBottom w:val="0"/>
      <w:divBdr>
        <w:top w:val="none" w:sz="0" w:space="0" w:color="auto"/>
        <w:left w:val="none" w:sz="0" w:space="0" w:color="auto"/>
        <w:bottom w:val="none" w:sz="0" w:space="0" w:color="auto"/>
        <w:right w:val="none" w:sz="0" w:space="0" w:color="auto"/>
      </w:divBdr>
    </w:div>
    <w:div w:id="967974523">
      <w:bodyDiv w:val="1"/>
      <w:marLeft w:val="0"/>
      <w:marRight w:val="0"/>
      <w:marTop w:val="0"/>
      <w:marBottom w:val="0"/>
      <w:divBdr>
        <w:top w:val="none" w:sz="0" w:space="0" w:color="auto"/>
        <w:left w:val="none" w:sz="0" w:space="0" w:color="auto"/>
        <w:bottom w:val="none" w:sz="0" w:space="0" w:color="auto"/>
        <w:right w:val="none" w:sz="0" w:space="0" w:color="auto"/>
      </w:divBdr>
    </w:div>
    <w:div w:id="970014787">
      <w:bodyDiv w:val="1"/>
      <w:marLeft w:val="0"/>
      <w:marRight w:val="0"/>
      <w:marTop w:val="0"/>
      <w:marBottom w:val="0"/>
      <w:divBdr>
        <w:top w:val="none" w:sz="0" w:space="0" w:color="auto"/>
        <w:left w:val="none" w:sz="0" w:space="0" w:color="auto"/>
        <w:bottom w:val="none" w:sz="0" w:space="0" w:color="auto"/>
        <w:right w:val="none" w:sz="0" w:space="0" w:color="auto"/>
      </w:divBdr>
    </w:div>
    <w:div w:id="971133998">
      <w:bodyDiv w:val="1"/>
      <w:marLeft w:val="0"/>
      <w:marRight w:val="0"/>
      <w:marTop w:val="0"/>
      <w:marBottom w:val="0"/>
      <w:divBdr>
        <w:top w:val="none" w:sz="0" w:space="0" w:color="auto"/>
        <w:left w:val="none" w:sz="0" w:space="0" w:color="auto"/>
        <w:bottom w:val="none" w:sz="0" w:space="0" w:color="auto"/>
        <w:right w:val="none" w:sz="0" w:space="0" w:color="auto"/>
      </w:divBdr>
    </w:div>
    <w:div w:id="971446069">
      <w:bodyDiv w:val="1"/>
      <w:marLeft w:val="0"/>
      <w:marRight w:val="0"/>
      <w:marTop w:val="0"/>
      <w:marBottom w:val="0"/>
      <w:divBdr>
        <w:top w:val="none" w:sz="0" w:space="0" w:color="auto"/>
        <w:left w:val="none" w:sz="0" w:space="0" w:color="auto"/>
        <w:bottom w:val="none" w:sz="0" w:space="0" w:color="auto"/>
        <w:right w:val="none" w:sz="0" w:space="0" w:color="auto"/>
      </w:divBdr>
    </w:div>
    <w:div w:id="973874335">
      <w:bodyDiv w:val="1"/>
      <w:marLeft w:val="0"/>
      <w:marRight w:val="0"/>
      <w:marTop w:val="0"/>
      <w:marBottom w:val="0"/>
      <w:divBdr>
        <w:top w:val="none" w:sz="0" w:space="0" w:color="auto"/>
        <w:left w:val="none" w:sz="0" w:space="0" w:color="auto"/>
        <w:bottom w:val="none" w:sz="0" w:space="0" w:color="auto"/>
        <w:right w:val="none" w:sz="0" w:space="0" w:color="auto"/>
      </w:divBdr>
    </w:div>
    <w:div w:id="979268413">
      <w:bodyDiv w:val="1"/>
      <w:marLeft w:val="0"/>
      <w:marRight w:val="0"/>
      <w:marTop w:val="0"/>
      <w:marBottom w:val="0"/>
      <w:divBdr>
        <w:top w:val="none" w:sz="0" w:space="0" w:color="auto"/>
        <w:left w:val="none" w:sz="0" w:space="0" w:color="auto"/>
        <w:bottom w:val="none" w:sz="0" w:space="0" w:color="auto"/>
        <w:right w:val="none" w:sz="0" w:space="0" w:color="auto"/>
      </w:divBdr>
    </w:div>
    <w:div w:id="988751511">
      <w:bodyDiv w:val="1"/>
      <w:marLeft w:val="0"/>
      <w:marRight w:val="0"/>
      <w:marTop w:val="0"/>
      <w:marBottom w:val="0"/>
      <w:divBdr>
        <w:top w:val="none" w:sz="0" w:space="0" w:color="auto"/>
        <w:left w:val="none" w:sz="0" w:space="0" w:color="auto"/>
        <w:bottom w:val="none" w:sz="0" w:space="0" w:color="auto"/>
        <w:right w:val="none" w:sz="0" w:space="0" w:color="auto"/>
      </w:divBdr>
    </w:div>
    <w:div w:id="991443764">
      <w:bodyDiv w:val="1"/>
      <w:marLeft w:val="0"/>
      <w:marRight w:val="0"/>
      <w:marTop w:val="0"/>
      <w:marBottom w:val="0"/>
      <w:divBdr>
        <w:top w:val="none" w:sz="0" w:space="0" w:color="auto"/>
        <w:left w:val="none" w:sz="0" w:space="0" w:color="auto"/>
        <w:bottom w:val="none" w:sz="0" w:space="0" w:color="auto"/>
        <w:right w:val="none" w:sz="0" w:space="0" w:color="auto"/>
      </w:divBdr>
    </w:div>
    <w:div w:id="999699240">
      <w:bodyDiv w:val="1"/>
      <w:marLeft w:val="0"/>
      <w:marRight w:val="0"/>
      <w:marTop w:val="0"/>
      <w:marBottom w:val="0"/>
      <w:divBdr>
        <w:top w:val="none" w:sz="0" w:space="0" w:color="auto"/>
        <w:left w:val="none" w:sz="0" w:space="0" w:color="auto"/>
        <w:bottom w:val="none" w:sz="0" w:space="0" w:color="auto"/>
        <w:right w:val="none" w:sz="0" w:space="0" w:color="auto"/>
      </w:divBdr>
    </w:div>
    <w:div w:id="1000354001">
      <w:bodyDiv w:val="1"/>
      <w:marLeft w:val="0"/>
      <w:marRight w:val="0"/>
      <w:marTop w:val="0"/>
      <w:marBottom w:val="0"/>
      <w:divBdr>
        <w:top w:val="none" w:sz="0" w:space="0" w:color="auto"/>
        <w:left w:val="none" w:sz="0" w:space="0" w:color="auto"/>
        <w:bottom w:val="none" w:sz="0" w:space="0" w:color="auto"/>
        <w:right w:val="none" w:sz="0" w:space="0" w:color="auto"/>
      </w:divBdr>
    </w:div>
    <w:div w:id="1002199404">
      <w:bodyDiv w:val="1"/>
      <w:marLeft w:val="0"/>
      <w:marRight w:val="0"/>
      <w:marTop w:val="0"/>
      <w:marBottom w:val="0"/>
      <w:divBdr>
        <w:top w:val="none" w:sz="0" w:space="0" w:color="auto"/>
        <w:left w:val="none" w:sz="0" w:space="0" w:color="auto"/>
        <w:bottom w:val="none" w:sz="0" w:space="0" w:color="auto"/>
        <w:right w:val="none" w:sz="0" w:space="0" w:color="auto"/>
      </w:divBdr>
    </w:div>
    <w:div w:id="1002657198">
      <w:bodyDiv w:val="1"/>
      <w:marLeft w:val="0"/>
      <w:marRight w:val="0"/>
      <w:marTop w:val="0"/>
      <w:marBottom w:val="0"/>
      <w:divBdr>
        <w:top w:val="none" w:sz="0" w:space="0" w:color="auto"/>
        <w:left w:val="none" w:sz="0" w:space="0" w:color="auto"/>
        <w:bottom w:val="none" w:sz="0" w:space="0" w:color="auto"/>
        <w:right w:val="none" w:sz="0" w:space="0" w:color="auto"/>
      </w:divBdr>
    </w:div>
    <w:div w:id="1018460034">
      <w:bodyDiv w:val="1"/>
      <w:marLeft w:val="0"/>
      <w:marRight w:val="0"/>
      <w:marTop w:val="0"/>
      <w:marBottom w:val="0"/>
      <w:divBdr>
        <w:top w:val="none" w:sz="0" w:space="0" w:color="auto"/>
        <w:left w:val="none" w:sz="0" w:space="0" w:color="auto"/>
        <w:bottom w:val="none" w:sz="0" w:space="0" w:color="auto"/>
        <w:right w:val="none" w:sz="0" w:space="0" w:color="auto"/>
      </w:divBdr>
    </w:div>
    <w:div w:id="1019237664">
      <w:bodyDiv w:val="1"/>
      <w:marLeft w:val="0"/>
      <w:marRight w:val="0"/>
      <w:marTop w:val="0"/>
      <w:marBottom w:val="0"/>
      <w:divBdr>
        <w:top w:val="none" w:sz="0" w:space="0" w:color="auto"/>
        <w:left w:val="none" w:sz="0" w:space="0" w:color="auto"/>
        <w:bottom w:val="none" w:sz="0" w:space="0" w:color="auto"/>
        <w:right w:val="none" w:sz="0" w:space="0" w:color="auto"/>
      </w:divBdr>
    </w:div>
    <w:div w:id="1019309059">
      <w:bodyDiv w:val="1"/>
      <w:marLeft w:val="0"/>
      <w:marRight w:val="0"/>
      <w:marTop w:val="0"/>
      <w:marBottom w:val="0"/>
      <w:divBdr>
        <w:top w:val="none" w:sz="0" w:space="0" w:color="auto"/>
        <w:left w:val="none" w:sz="0" w:space="0" w:color="auto"/>
        <w:bottom w:val="none" w:sz="0" w:space="0" w:color="auto"/>
        <w:right w:val="none" w:sz="0" w:space="0" w:color="auto"/>
      </w:divBdr>
    </w:div>
    <w:div w:id="1034116953">
      <w:bodyDiv w:val="1"/>
      <w:marLeft w:val="0"/>
      <w:marRight w:val="0"/>
      <w:marTop w:val="0"/>
      <w:marBottom w:val="0"/>
      <w:divBdr>
        <w:top w:val="none" w:sz="0" w:space="0" w:color="auto"/>
        <w:left w:val="none" w:sz="0" w:space="0" w:color="auto"/>
        <w:bottom w:val="none" w:sz="0" w:space="0" w:color="auto"/>
        <w:right w:val="none" w:sz="0" w:space="0" w:color="auto"/>
      </w:divBdr>
    </w:div>
    <w:div w:id="1037201416">
      <w:bodyDiv w:val="1"/>
      <w:marLeft w:val="0"/>
      <w:marRight w:val="0"/>
      <w:marTop w:val="0"/>
      <w:marBottom w:val="0"/>
      <w:divBdr>
        <w:top w:val="none" w:sz="0" w:space="0" w:color="auto"/>
        <w:left w:val="none" w:sz="0" w:space="0" w:color="auto"/>
        <w:bottom w:val="none" w:sz="0" w:space="0" w:color="auto"/>
        <w:right w:val="none" w:sz="0" w:space="0" w:color="auto"/>
      </w:divBdr>
    </w:div>
    <w:div w:id="1040320945">
      <w:bodyDiv w:val="1"/>
      <w:marLeft w:val="0"/>
      <w:marRight w:val="0"/>
      <w:marTop w:val="0"/>
      <w:marBottom w:val="0"/>
      <w:divBdr>
        <w:top w:val="none" w:sz="0" w:space="0" w:color="auto"/>
        <w:left w:val="none" w:sz="0" w:space="0" w:color="auto"/>
        <w:bottom w:val="none" w:sz="0" w:space="0" w:color="auto"/>
        <w:right w:val="none" w:sz="0" w:space="0" w:color="auto"/>
      </w:divBdr>
    </w:div>
    <w:div w:id="1040469817">
      <w:bodyDiv w:val="1"/>
      <w:marLeft w:val="0"/>
      <w:marRight w:val="0"/>
      <w:marTop w:val="0"/>
      <w:marBottom w:val="0"/>
      <w:divBdr>
        <w:top w:val="none" w:sz="0" w:space="0" w:color="auto"/>
        <w:left w:val="none" w:sz="0" w:space="0" w:color="auto"/>
        <w:bottom w:val="none" w:sz="0" w:space="0" w:color="auto"/>
        <w:right w:val="none" w:sz="0" w:space="0" w:color="auto"/>
      </w:divBdr>
    </w:div>
    <w:div w:id="1041519053">
      <w:bodyDiv w:val="1"/>
      <w:marLeft w:val="0"/>
      <w:marRight w:val="0"/>
      <w:marTop w:val="0"/>
      <w:marBottom w:val="0"/>
      <w:divBdr>
        <w:top w:val="none" w:sz="0" w:space="0" w:color="auto"/>
        <w:left w:val="none" w:sz="0" w:space="0" w:color="auto"/>
        <w:bottom w:val="none" w:sz="0" w:space="0" w:color="auto"/>
        <w:right w:val="none" w:sz="0" w:space="0" w:color="auto"/>
      </w:divBdr>
    </w:div>
    <w:div w:id="1043359248">
      <w:bodyDiv w:val="1"/>
      <w:marLeft w:val="0"/>
      <w:marRight w:val="0"/>
      <w:marTop w:val="0"/>
      <w:marBottom w:val="0"/>
      <w:divBdr>
        <w:top w:val="none" w:sz="0" w:space="0" w:color="auto"/>
        <w:left w:val="none" w:sz="0" w:space="0" w:color="auto"/>
        <w:bottom w:val="none" w:sz="0" w:space="0" w:color="auto"/>
        <w:right w:val="none" w:sz="0" w:space="0" w:color="auto"/>
      </w:divBdr>
    </w:div>
    <w:div w:id="1049303362">
      <w:bodyDiv w:val="1"/>
      <w:marLeft w:val="0"/>
      <w:marRight w:val="0"/>
      <w:marTop w:val="0"/>
      <w:marBottom w:val="0"/>
      <w:divBdr>
        <w:top w:val="none" w:sz="0" w:space="0" w:color="auto"/>
        <w:left w:val="none" w:sz="0" w:space="0" w:color="auto"/>
        <w:bottom w:val="none" w:sz="0" w:space="0" w:color="auto"/>
        <w:right w:val="none" w:sz="0" w:space="0" w:color="auto"/>
      </w:divBdr>
    </w:div>
    <w:div w:id="1051080882">
      <w:bodyDiv w:val="1"/>
      <w:marLeft w:val="0"/>
      <w:marRight w:val="0"/>
      <w:marTop w:val="0"/>
      <w:marBottom w:val="0"/>
      <w:divBdr>
        <w:top w:val="none" w:sz="0" w:space="0" w:color="auto"/>
        <w:left w:val="none" w:sz="0" w:space="0" w:color="auto"/>
        <w:bottom w:val="none" w:sz="0" w:space="0" w:color="auto"/>
        <w:right w:val="none" w:sz="0" w:space="0" w:color="auto"/>
      </w:divBdr>
    </w:div>
    <w:div w:id="1054351342">
      <w:bodyDiv w:val="1"/>
      <w:marLeft w:val="0"/>
      <w:marRight w:val="0"/>
      <w:marTop w:val="0"/>
      <w:marBottom w:val="0"/>
      <w:divBdr>
        <w:top w:val="none" w:sz="0" w:space="0" w:color="auto"/>
        <w:left w:val="none" w:sz="0" w:space="0" w:color="auto"/>
        <w:bottom w:val="none" w:sz="0" w:space="0" w:color="auto"/>
        <w:right w:val="none" w:sz="0" w:space="0" w:color="auto"/>
      </w:divBdr>
    </w:div>
    <w:div w:id="1056006913">
      <w:bodyDiv w:val="1"/>
      <w:marLeft w:val="0"/>
      <w:marRight w:val="0"/>
      <w:marTop w:val="0"/>
      <w:marBottom w:val="0"/>
      <w:divBdr>
        <w:top w:val="none" w:sz="0" w:space="0" w:color="auto"/>
        <w:left w:val="none" w:sz="0" w:space="0" w:color="auto"/>
        <w:bottom w:val="none" w:sz="0" w:space="0" w:color="auto"/>
        <w:right w:val="none" w:sz="0" w:space="0" w:color="auto"/>
      </w:divBdr>
    </w:div>
    <w:div w:id="1062564792">
      <w:bodyDiv w:val="1"/>
      <w:marLeft w:val="0"/>
      <w:marRight w:val="0"/>
      <w:marTop w:val="0"/>
      <w:marBottom w:val="0"/>
      <w:divBdr>
        <w:top w:val="none" w:sz="0" w:space="0" w:color="auto"/>
        <w:left w:val="none" w:sz="0" w:space="0" w:color="auto"/>
        <w:bottom w:val="none" w:sz="0" w:space="0" w:color="auto"/>
        <w:right w:val="none" w:sz="0" w:space="0" w:color="auto"/>
      </w:divBdr>
    </w:div>
    <w:div w:id="1070882835">
      <w:bodyDiv w:val="1"/>
      <w:marLeft w:val="0"/>
      <w:marRight w:val="0"/>
      <w:marTop w:val="0"/>
      <w:marBottom w:val="0"/>
      <w:divBdr>
        <w:top w:val="none" w:sz="0" w:space="0" w:color="auto"/>
        <w:left w:val="none" w:sz="0" w:space="0" w:color="auto"/>
        <w:bottom w:val="none" w:sz="0" w:space="0" w:color="auto"/>
        <w:right w:val="none" w:sz="0" w:space="0" w:color="auto"/>
      </w:divBdr>
    </w:div>
    <w:div w:id="1090277543">
      <w:bodyDiv w:val="1"/>
      <w:marLeft w:val="0"/>
      <w:marRight w:val="0"/>
      <w:marTop w:val="0"/>
      <w:marBottom w:val="0"/>
      <w:divBdr>
        <w:top w:val="none" w:sz="0" w:space="0" w:color="auto"/>
        <w:left w:val="none" w:sz="0" w:space="0" w:color="auto"/>
        <w:bottom w:val="none" w:sz="0" w:space="0" w:color="auto"/>
        <w:right w:val="none" w:sz="0" w:space="0" w:color="auto"/>
      </w:divBdr>
    </w:div>
    <w:div w:id="1090616028">
      <w:bodyDiv w:val="1"/>
      <w:marLeft w:val="0"/>
      <w:marRight w:val="0"/>
      <w:marTop w:val="0"/>
      <w:marBottom w:val="0"/>
      <w:divBdr>
        <w:top w:val="none" w:sz="0" w:space="0" w:color="auto"/>
        <w:left w:val="none" w:sz="0" w:space="0" w:color="auto"/>
        <w:bottom w:val="none" w:sz="0" w:space="0" w:color="auto"/>
        <w:right w:val="none" w:sz="0" w:space="0" w:color="auto"/>
      </w:divBdr>
    </w:div>
    <w:div w:id="1112625477">
      <w:bodyDiv w:val="1"/>
      <w:marLeft w:val="0"/>
      <w:marRight w:val="0"/>
      <w:marTop w:val="0"/>
      <w:marBottom w:val="0"/>
      <w:divBdr>
        <w:top w:val="none" w:sz="0" w:space="0" w:color="auto"/>
        <w:left w:val="none" w:sz="0" w:space="0" w:color="auto"/>
        <w:bottom w:val="none" w:sz="0" w:space="0" w:color="auto"/>
        <w:right w:val="none" w:sz="0" w:space="0" w:color="auto"/>
      </w:divBdr>
    </w:div>
    <w:div w:id="1118449485">
      <w:bodyDiv w:val="1"/>
      <w:marLeft w:val="0"/>
      <w:marRight w:val="0"/>
      <w:marTop w:val="0"/>
      <w:marBottom w:val="0"/>
      <w:divBdr>
        <w:top w:val="none" w:sz="0" w:space="0" w:color="auto"/>
        <w:left w:val="none" w:sz="0" w:space="0" w:color="auto"/>
        <w:bottom w:val="none" w:sz="0" w:space="0" w:color="auto"/>
        <w:right w:val="none" w:sz="0" w:space="0" w:color="auto"/>
      </w:divBdr>
    </w:div>
    <w:div w:id="1118527287">
      <w:bodyDiv w:val="1"/>
      <w:marLeft w:val="0"/>
      <w:marRight w:val="0"/>
      <w:marTop w:val="0"/>
      <w:marBottom w:val="0"/>
      <w:divBdr>
        <w:top w:val="none" w:sz="0" w:space="0" w:color="auto"/>
        <w:left w:val="none" w:sz="0" w:space="0" w:color="auto"/>
        <w:bottom w:val="none" w:sz="0" w:space="0" w:color="auto"/>
        <w:right w:val="none" w:sz="0" w:space="0" w:color="auto"/>
      </w:divBdr>
    </w:div>
    <w:div w:id="1122262809">
      <w:bodyDiv w:val="1"/>
      <w:marLeft w:val="0"/>
      <w:marRight w:val="0"/>
      <w:marTop w:val="0"/>
      <w:marBottom w:val="0"/>
      <w:divBdr>
        <w:top w:val="none" w:sz="0" w:space="0" w:color="auto"/>
        <w:left w:val="none" w:sz="0" w:space="0" w:color="auto"/>
        <w:bottom w:val="none" w:sz="0" w:space="0" w:color="auto"/>
        <w:right w:val="none" w:sz="0" w:space="0" w:color="auto"/>
      </w:divBdr>
    </w:div>
    <w:div w:id="1129780500">
      <w:bodyDiv w:val="1"/>
      <w:marLeft w:val="0"/>
      <w:marRight w:val="0"/>
      <w:marTop w:val="0"/>
      <w:marBottom w:val="0"/>
      <w:divBdr>
        <w:top w:val="none" w:sz="0" w:space="0" w:color="auto"/>
        <w:left w:val="none" w:sz="0" w:space="0" w:color="auto"/>
        <w:bottom w:val="none" w:sz="0" w:space="0" w:color="auto"/>
        <w:right w:val="none" w:sz="0" w:space="0" w:color="auto"/>
      </w:divBdr>
    </w:div>
    <w:div w:id="1142307351">
      <w:bodyDiv w:val="1"/>
      <w:marLeft w:val="0"/>
      <w:marRight w:val="0"/>
      <w:marTop w:val="0"/>
      <w:marBottom w:val="0"/>
      <w:divBdr>
        <w:top w:val="none" w:sz="0" w:space="0" w:color="auto"/>
        <w:left w:val="none" w:sz="0" w:space="0" w:color="auto"/>
        <w:bottom w:val="none" w:sz="0" w:space="0" w:color="auto"/>
        <w:right w:val="none" w:sz="0" w:space="0" w:color="auto"/>
      </w:divBdr>
    </w:div>
    <w:div w:id="1145656371">
      <w:bodyDiv w:val="1"/>
      <w:marLeft w:val="0"/>
      <w:marRight w:val="0"/>
      <w:marTop w:val="0"/>
      <w:marBottom w:val="0"/>
      <w:divBdr>
        <w:top w:val="none" w:sz="0" w:space="0" w:color="auto"/>
        <w:left w:val="none" w:sz="0" w:space="0" w:color="auto"/>
        <w:bottom w:val="none" w:sz="0" w:space="0" w:color="auto"/>
        <w:right w:val="none" w:sz="0" w:space="0" w:color="auto"/>
      </w:divBdr>
    </w:div>
    <w:div w:id="1149590853">
      <w:bodyDiv w:val="1"/>
      <w:marLeft w:val="0"/>
      <w:marRight w:val="0"/>
      <w:marTop w:val="0"/>
      <w:marBottom w:val="0"/>
      <w:divBdr>
        <w:top w:val="none" w:sz="0" w:space="0" w:color="auto"/>
        <w:left w:val="none" w:sz="0" w:space="0" w:color="auto"/>
        <w:bottom w:val="none" w:sz="0" w:space="0" w:color="auto"/>
        <w:right w:val="none" w:sz="0" w:space="0" w:color="auto"/>
      </w:divBdr>
    </w:div>
    <w:div w:id="1154182090">
      <w:bodyDiv w:val="1"/>
      <w:marLeft w:val="0"/>
      <w:marRight w:val="0"/>
      <w:marTop w:val="0"/>
      <w:marBottom w:val="0"/>
      <w:divBdr>
        <w:top w:val="none" w:sz="0" w:space="0" w:color="auto"/>
        <w:left w:val="none" w:sz="0" w:space="0" w:color="auto"/>
        <w:bottom w:val="none" w:sz="0" w:space="0" w:color="auto"/>
        <w:right w:val="none" w:sz="0" w:space="0" w:color="auto"/>
      </w:divBdr>
    </w:div>
    <w:div w:id="1161392004">
      <w:bodyDiv w:val="1"/>
      <w:marLeft w:val="0"/>
      <w:marRight w:val="0"/>
      <w:marTop w:val="0"/>
      <w:marBottom w:val="0"/>
      <w:divBdr>
        <w:top w:val="none" w:sz="0" w:space="0" w:color="auto"/>
        <w:left w:val="none" w:sz="0" w:space="0" w:color="auto"/>
        <w:bottom w:val="none" w:sz="0" w:space="0" w:color="auto"/>
        <w:right w:val="none" w:sz="0" w:space="0" w:color="auto"/>
      </w:divBdr>
    </w:div>
    <w:div w:id="1163737471">
      <w:bodyDiv w:val="1"/>
      <w:marLeft w:val="0"/>
      <w:marRight w:val="0"/>
      <w:marTop w:val="0"/>
      <w:marBottom w:val="0"/>
      <w:divBdr>
        <w:top w:val="none" w:sz="0" w:space="0" w:color="auto"/>
        <w:left w:val="none" w:sz="0" w:space="0" w:color="auto"/>
        <w:bottom w:val="none" w:sz="0" w:space="0" w:color="auto"/>
        <w:right w:val="none" w:sz="0" w:space="0" w:color="auto"/>
      </w:divBdr>
    </w:div>
    <w:div w:id="1164247398">
      <w:bodyDiv w:val="1"/>
      <w:marLeft w:val="0"/>
      <w:marRight w:val="0"/>
      <w:marTop w:val="0"/>
      <w:marBottom w:val="0"/>
      <w:divBdr>
        <w:top w:val="none" w:sz="0" w:space="0" w:color="auto"/>
        <w:left w:val="none" w:sz="0" w:space="0" w:color="auto"/>
        <w:bottom w:val="none" w:sz="0" w:space="0" w:color="auto"/>
        <w:right w:val="none" w:sz="0" w:space="0" w:color="auto"/>
      </w:divBdr>
    </w:div>
    <w:div w:id="1165901513">
      <w:bodyDiv w:val="1"/>
      <w:marLeft w:val="0"/>
      <w:marRight w:val="0"/>
      <w:marTop w:val="0"/>
      <w:marBottom w:val="0"/>
      <w:divBdr>
        <w:top w:val="none" w:sz="0" w:space="0" w:color="auto"/>
        <w:left w:val="none" w:sz="0" w:space="0" w:color="auto"/>
        <w:bottom w:val="none" w:sz="0" w:space="0" w:color="auto"/>
        <w:right w:val="none" w:sz="0" w:space="0" w:color="auto"/>
      </w:divBdr>
    </w:div>
    <w:div w:id="1171603585">
      <w:bodyDiv w:val="1"/>
      <w:marLeft w:val="0"/>
      <w:marRight w:val="0"/>
      <w:marTop w:val="0"/>
      <w:marBottom w:val="0"/>
      <w:divBdr>
        <w:top w:val="none" w:sz="0" w:space="0" w:color="auto"/>
        <w:left w:val="none" w:sz="0" w:space="0" w:color="auto"/>
        <w:bottom w:val="none" w:sz="0" w:space="0" w:color="auto"/>
        <w:right w:val="none" w:sz="0" w:space="0" w:color="auto"/>
      </w:divBdr>
    </w:div>
    <w:div w:id="1174608845">
      <w:bodyDiv w:val="1"/>
      <w:marLeft w:val="0"/>
      <w:marRight w:val="0"/>
      <w:marTop w:val="0"/>
      <w:marBottom w:val="0"/>
      <w:divBdr>
        <w:top w:val="none" w:sz="0" w:space="0" w:color="auto"/>
        <w:left w:val="none" w:sz="0" w:space="0" w:color="auto"/>
        <w:bottom w:val="none" w:sz="0" w:space="0" w:color="auto"/>
        <w:right w:val="none" w:sz="0" w:space="0" w:color="auto"/>
      </w:divBdr>
    </w:div>
    <w:div w:id="1179545279">
      <w:bodyDiv w:val="1"/>
      <w:marLeft w:val="0"/>
      <w:marRight w:val="0"/>
      <w:marTop w:val="0"/>
      <w:marBottom w:val="0"/>
      <w:divBdr>
        <w:top w:val="none" w:sz="0" w:space="0" w:color="auto"/>
        <w:left w:val="none" w:sz="0" w:space="0" w:color="auto"/>
        <w:bottom w:val="none" w:sz="0" w:space="0" w:color="auto"/>
        <w:right w:val="none" w:sz="0" w:space="0" w:color="auto"/>
      </w:divBdr>
    </w:div>
    <w:div w:id="1181049890">
      <w:bodyDiv w:val="1"/>
      <w:marLeft w:val="0"/>
      <w:marRight w:val="0"/>
      <w:marTop w:val="0"/>
      <w:marBottom w:val="0"/>
      <w:divBdr>
        <w:top w:val="none" w:sz="0" w:space="0" w:color="auto"/>
        <w:left w:val="none" w:sz="0" w:space="0" w:color="auto"/>
        <w:bottom w:val="none" w:sz="0" w:space="0" w:color="auto"/>
        <w:right w:val="none" w:sz="0" w:space="0" w:color="auto"/>
      </w:divBdr>
    </w:div>
    <w:div w:id="1190803129">
      <w:bodyDiv w:val="1"/>
      <w:marLeft w:val="0"/>
      <w:marRight w:val="0"/>
      <w:marTop w:val="0"/>
      <w:marBottom w:val="0"/>
      <w:divBdr>
        <w:top w:val="none" w:sz="0" w:space="0" w:color="auto"/>
        <w:left w:val="none" w:sz="0" w:space="0" w:color="auto"/>
        <w:bottom w:val="none" w:sz="0" w:space="0" w:color="auto"/>
        <w:right w:val="none" w:sz="0" w:space="0" w:color="auto"/>
      </w:divBdr>
    </w:div>
    <w:div w:id="1201820728">
      <w:bodyDiv w:val="1"/>
      <w:marLeft w:val="0"/>
      <w:marRight w:val="0"/>
      <w:marTop w:val="0"/>
      <w:marBottom w:val="0"/>
      <w:divBdr>
        <w:top w:val="none" w:sz="0" w:space="0" w:color="auto"/>
        <w:left w:val="none" w:sz="0" w:space="0" w:color="auto"/>
        <w:bottom w:val="none" w:sz="0" w:space="0" w:color="auto"/>
        <w:right w:val="none" w:sz="0" w:space="0" w:color="auto"/>
      </w:divBdr>
    </w:div>
    <w:div w:id="1206018487">
      <w:bodyDiv w:val="1"/>
      <w:marLeft w:val="0"/>
      <w:marRight w:val="0"/>
      <w:marTop w:val="0"/>
      <w:marBottom w:val="0"/>
      <w:divBdr>
        <w:top w:val="none" w:sz="0" w:space="0" w:color="auto"/>
        <w:left w:val="none" w:sz="0" w:space="0" w:color="auto"/>
        <w:bottom w:val="none" w:sz="0" w:space="0" w:color="auto"/>
        <w:right w:val="none" w:sz="0" w:space="0" w:color="auto"/>
      </w:divBdr>
    </w:div>
    <w:div w:id="1206601835">
      <w:bodyDiv w:val="1"/>
      <w:marLeft w:val="0"/>
      <w:marRight w:val="0"/>
      <w:marTop w:val="0"/>
      <w:marBottom w:val="0"/>
      <w:divBdr>
        <w:top w:val="none" w:sz="0" w:space="0" w:color="auto"/>
        <w:left w:val="none" w:sz="0" w:space="0" w:color="auto"/>
        <w:bottom w:val="none" w:sz="0" w:space="0" w:color="auto"/>
        <w:right w:val="none" w:sz="0" w:space="0" w:color="auto"/>
      </w:divBdr>
    </w:div>
    <w:div w:id="1216700559">
      <w:bodyDiv w:val="1"/>
      <w:marLeft w:val="0"/>
      <w:marRight w:val="0"/>
      <w:marTop w:val="0"/>
      <w:marBottom w:val="0"/>
      <w:divBdr>
        <w:top w:val="none" w:sz="0" w:space="0" w:color="auto"/>
        <w:left w:val="none" w:sz="0" w:space="0" w:color="auto"/>
        <w:bottom w:val="none" w:sz="0" w:space="0" w:color="auto"/>
        <w:right w:val="none" w:sz="0" w:space="0" w:color="auto"/>
      </w:divBdr>
    </w:div>
    <w:div w:id="1218777979">
      <w:bodyDiv w:val="1"/>
      <w:marLeft w:val="0"/>
      <w:marRight w:val="0"/>
      <w:marTop w:val="0"/>
      <w:marBottom w:val="0"/>
      <w:divBdr>
        <w:top w:val="none" w:sz="0" w:space="0" w:color="auto"/>
        <w:left w:val="none" w:sz="0" w:space="0" w:color="auto"/>
        <w:bottom w:val="none" w:sz="0" w:space="0" w:color="auto"/>
        <w:right w:val="none" w:sz="0" w:space="0" w:color="auto"/>
      </w:divBdr>
    </w:div>
    <w:div w:id="1223449139">
      <w:bodyDiv w:val="1"/>
      <w:marLeft w:val="0"/>
      <w:marRight w:val="0"/>
      <w:marTop w:val="0"/>
      <w:marBottom w:val="0"/>
      <w:divBdr>
        <w:top w:val="none" w:sz="0" w:space="0" w:color="auto"/>
        <w:left w:val="none" w:sz="0" w:space="0" w:color="auto"/>
        <w:bottom w:val="none" w:sz="0" w:space="0" w:color="auto"/>
        <w:right w:val="none" w:sz="0" w:space="0" w:color="auto"/>
      </w:divBdr>
    </w:div>
    <w:div w:id="1223903510">
      <w:bodyDiv w:val="1"/>
      <w:marLeft w:val="0"/>
      <w:marRight w:val="0"/>
      <w:marTop w:val="0"/>
      <w:marBottom w:val="0"/>
      <w:divBdr>
        <w:top w:val="none" w:sz="0" w:space="0" w:color="auto"/>
        <w:left w:val="none" w:sz="0" w:space="0" w:color="auto"/>
        <w:bottom w:val="none" w:sz="0" w:space="0" w:color="auto"/>
        <w:right w:val="none" w:sz="0" w:space="0" w:color="auto"/>
      </w:divBdr>
    </w:div>
    <w:div w:id="1226603398">
      <w:bodyDiv w:val="1"/>
      <w:marLeft w:val="0"/>
      <w:marRight w:val="0"/>
      <w:marTop w:val="0"/>
      <w:marBottom w:val="0"/>
      <w:divBdr>
        <w:top w:val="none" w:sz="0" w:space="0" w:color="auto"/>
        <w:left w:val="none" w:sz="0" w:space="0" w:color="auto"/>
        <w:bottom w:val="none" w:sz="0" w:space="0" w:color="auto"/>
        <w:right w:val="none" w:sz="0" w:space="0" w:color="auto"/>
      </w:divBdr>
    </w:div>
    <w:div w:id="1228222769">
      <w:bodyDiv w:val="1"/>
      <w:marLeft w:val="0"/>
      <w:marRight w:val="0"/>
      <w:marTop w:val="0"/>
      <w:marBottom w:val="0"/>
      <w:divBdr>
        <w:top w:val="none" w:sz="0" w:space="0" w:color="auto"/>
        <w:left w:val="none" w:sz="0" w:space="0" w:color="auto"/>
        <w:bottom w:val="none" w:sz="0" w:space="0" w:color="auto"/>
        <w:right w:val="none" w:sz="0" w:space="0" w:color="auto"/>
      </w:divBdr>
    </w:div>
    <w:div w:id="1234582389">
      <w:bodyDiv w:val="1"/>
      <w:marLeft w:val="0"/>
      <w:marRight w:val="0"/>
      <w:marTop w:val="0"/>
      <w:marBottom w:val="0"/>
      <w:divBdr>
        <w:top w:val="none" w:sz="0" w:space="0" w:color="auto"/>
        <w:left w:val="none" w:sz="0" w:space="0" w:color="auto"/>
        <w:bottom w:val="none" w:sz="0" w:space="0" w:color="auto"/>
        <w:right w:val="none" w:sz="0" w:space="0" w:color="auto"/>
      </w:divBdr>
    </w:div>
    <w:div w:id="1236671393">
      <w:bodyDiv w:val="1"/>
      <w:marLeft w:val="0"/>
      <w:marRight w:val="0"/>
      <w:marTop w:val="0"/>
      <w:marBottom w:val="0"/>
      <w:divBdr>
        <w:top w:val="none" w:sz="0" w:space="0" w:color="auto"/>
        <w:left w:val="none" w:sz="0" w:space="0" w:color="auto"/>
        <w:bottom w:val="none" w:sz="0" w:space="0" w:color="auto"/>
        <w:right w:val="none" w:sz="0" w:space="0" w:color="auto"/>
      </w:divBdr>
    </w:div>
    <w:div w:id="1242569697">
      <w:bodyDiv w:val="1"/>
      <w:marLeft w:val="0"/>
      <w:marRight w:val="0"/>
      <w:marTop w:val="0"/>
      <w:marBottom w:val="0"/>
      <w:divBdr>
        <w:top w:val="none" w:sz="0" w:space="0" w:color="auto"/>
        <w:left w:val="none" w:sz="0" w:space="0" w:color="auto"/>
        <w:bottom w:val="none" w:sz="0" w:space="0" w:color="auto"/>
        <w:right w:val="none" w:sz="0" w:space="0" w:color="auto"/>
      </w:divBdr>
    </w:div>
    <w:div w:id="1242594869">
      <w:bodyDiv w:val="1"/>
      <w:marLeft w:val="0"/>
      <w:marRight w:val="0"/>
      <w:marTop w:val="0"/>
      <w:marBottom w:val="0"/>
      <w:divBdr>
        <w:top w:val="none" w:sz="0" w:space="0" w:color="auto"/>
        <w:left w:val="none" w:sz="0" w:space="0" w:color="auto"/>
        <w:bottom w:val="none" w:sz="0" w:space="0" w:color="auto"/>
        <w:right w:val="none" w:sz="0" w:space="0" w:color="auto"/>
      </w:divBdr>
    </w:div>
    <w:div w:id="1246572393">
      <w:bodyDiv w:val="1"/>
      <w:marLeft w:val="0"/>
      <w:marRight w:val="0"/>
      <w:marTop w:val="0"/>
      <w:marBottom w:val="0"/>
      <w:divBdr>
        <w:top w:val="none" w:sz="0" w:space="0" w:color="auto"/>
        <w:left w:val="none" w:sz="0" w:space="0" w:color="auto"/>
        <w:bottom w:val="none" w:sz="0" w:space="0" w:color="auto"/>
        <w:right w:val="none" w:sz="0" w:space="0" w:color="auto"/>
      </w:divBdr>
    </w:div>
    <w:div w:id="1246917744">
      <w:bodyDiv w:val="1"/>
      <w:marLeft w:val="0"/>
      <w:marRight w:val="0"/>
      <w:marTop w:val="0"/>
      <w:marBottom w:val="0"/>
      <w:divBdr>
        <w:top w:val="none" w:sz="0" w:space="0" w:color="auto"/>
        <w:left w:val="none" w:sz="0" w:space="0" w:color="auto"/>
        <w:bottom w:val="none" w:sz="0" w:space="0" w:color="auto"/>
        <w:right w:val="none" w:sz="0" w:space="0" w:color="auto"/>
      </w:divBdr>
    </w:div>
    <w:div w:id="1260413112">
      <w:bodyDiv w:val="1"/>
      <w:marLeft w:val="0"/>
      <w:marRight w:val="0"/>
      <w:marTop w:val="0"/>
      <w:marBottom w:val="0"/>
      <w:divBdr>
        <w:top w:val="none" w:sz="0" w:space="0" w:color="auto"/>
        <w:left w:val="none" w:sz="0" w:space="0" w:color="auto"/>
        <w:bottom w:val="none" w:sz="0" w:space="0" w:color="auto"/>
        <w:right w:val="none" w:sz="0" w:space="0" w:color="auto"/>
      </w:divBdr>
    </w:div>
    <w:div w:id="1260483547">
      <w:bodyDiv w:val="1"/>
      <w:marLeft w:val="0"/>
      <w:marRight w:val="0"/>
      <w:marTop w:val="0"/>
      <w:marBottom w:val="0"/>
      <w:divBdr>
        <w:top w:val="none" w:sz="0" w:space="0" w:color="auto"/>
        <w:left w:val="none" w:sz="0" w:space="0" w:color="auto"/>
        <w:bottom w:val="none" w:sz="0" w:space="0" w:color="auto"/>
        <w:right w:val="none" w:sz="0" w:space="0" w:color="auto"/>
      </w:divBdr>
    </w:div>
    <w:div w:id="1264069700">
      <w:bodyDiv w:val="1"/>
      <w:marLeft w:val="0"/>
      <w:marRight w:val="0"/>
      <w:marTop w:val="0"/>
      <w:marBottom w:val="0"/>
      <w:divBdr>
        <w:top w:val="none" w:sz="0" w:space="0" w:color="auto"/>
        <w:left w:val="none" w:sz="0" w:space="0" w:color="auto"/>
        <w:bottom w:val="none" w:sz="0" w:space="0" w:color="auto"/>
        <w:right w:val="none" w:sz="0" w:space="0" w:color="auto"/>
      </w:divBdr>
    </w:div>
    <w:div w:id="1265193133">
      <w:bodyDiv w:val="1"/>
      <w:marLeft w:val="0"/>
      <w:marRight w:val="0"/>
      <w:marTop w:val="0"/>
      <w:marBottom w:val="0"/>
      <w:divBdr>
        <w:top w:val="none" w:sz="0" w:space="0" w:color="auto"/>
        <w:left w:val="none" w:sz="0" w:space="0" w:color="auto"/>
        <w:bottom w:val="none" w:sz="0" w:space="0" w:color="auto"/>
        <w:right w:val="none" w:sz="0" w:space="0" w:color="auto"/>
      </w:divBdr>
    </w:div>
    <w:div w:id="1268852564">
      <w:bodyDiv w:val="1"/>
      <w:marLeft w:val="0"/>
      <w:marRight w:val="0"/>
      <w:marTop w:val="0"/>
      <w:marBottom w:val="0"/>
      <w:divBdr>
        <w:top w:val="none" w:sz="0" w:space="0" w:color="auto"/>
        <w:left w:val="none" w:sz="0" w:space="0" w:color="auto"/>
        <w:bottom w:val="none" w:sz="0" w:space="0" w:color="auto"/>
        <w:right w:val="none" w:sz="0" w:space="0" w:color="auto"/>
      </w:divBdr>
    </w:div>
    <w:div w:id="1271006691">
      <w:bodyDiv w:val="1"/>
      <w:marLeft w:val="0"/>
      <w:marRight w:val="0"/>
      <w:marTop w:val="0"/>
      <w:marBottom w:val="0"/>
      <w:divBdr>
        <w:top w:val="none" w:sz="0" w:space="0" w:color="auto"/>
        <w:left w:val="none" w:sz="0" w:space="0" w:color="auto"/>
        <w:bottom w:val="none" w:sz="0" w:space="0" w:color="auto"/>
        <w:right w:val="none" w:sz="0" w:space="0" w:color="auto"/>
      </w:divBdr>
    </w:div>
    <w:div w:id="1277712290">
      <w:bodyDiv w:val="1"/>
      <w:marLeft w:val="0"/>
      <w:marRight w:val="0"/>
      <w:marTop w:val="0"/>
      <w:marBottom w:val="0"/>
      <w:divBdr>
        <w:top w:val="none" w:sz="0" w:space="0" w:color="auto"/>
        <w:left w:val="none" w:sz="0" w:space="0" w:color="auto"/>
        <w:bottom w:val="none" w:sz="0" w:space="0" w:color="auto"/>
        <w:right w:val="none" w:sz="0" w:space="0" w:color="auto"/>
      </w:divBdr>
    </w:div>
    <w:div w:id="1279335007">
      <w:bodyDiv w:val="1"/>
      <w:marLeft w:val="0"/>
      <w:marRight w:val="0"/>
      <w:marTop w:val="0"/>
      <w:marBottom w:val="0"/>
      <w:divBdr>
        <w:top w:val="none" w:sz="0" w:space="0" w:color="auto"/>
        <w:left w:val="none" w:sz="0" w:space="0" w:color="auto"/>
        <w:bottom w:val="none" w:sz="0" w:space="0" w:color="auto"/>
        <w:right w:val="none" w:sz="0" w:space="0" w:color="auto"/>
      </w:divBdr>
    </w:div>
    <w:div w:id="1279991868">
      <w:bodyDiv w:val="1"/>
      <w:marLeft w:val="0"/>
      <w:marRight w:val="0"/>
      <w:marTop w:val="0"/>
      <w:marBottom w:val="0"/>
      <w:divBdr>
        <w:top w:val="none" w:sz="0" w:space="0" w:color="auto"/>
        <w:left w:val="none" w:sz="0" w:space="0" w:color="auto"/>
        <w:bottom w:val="none" w:sz="0" w:space="0" w:color="auto"/>
        <w:right w:val="none" w:sz="0" w:space="0" w:color="auto"/>
      </w:divBdr>
    </w:div>
    <w:div w:id="1281258294">
      <w:bodyDiv w:val="1"/>
      <w:marLeft w:val="0"/>
      <w:marRight w:val="0"/>
      <w:marTop w:val="0"/>
      <w:marBottom w:val="0"/>
      <w:divBdr>
        <w:top w:val="none" w:sz="0" w:space="0" w:color="auto"/>
        <w:left w:val="none" w:sz="0" w:space="0" w:color="auto"/>
        <w:bottom w:val="none" w:sz="0" w:space="0" w:color="auto"/>
        <w:right w:val="none" w:sz="0" w:space="0" w:color="auto"/>
      </w:divBdr>
    </w:div>
    <w:div w:id="1283271556">
      <w:bodyDiv w:val="1"/>
      <w:marLeft w:val="0"/>
      <w:marRight w:val="0"/>
      <w:marTop w:val="0"/>
      <w:marBottom w:val="0"/>
      <w:divBdr>
        <w:top w:val="none" w:sz="0" w:space="0" w:color="auto"/>
        <w:left w:val="none" w:sz="0" w:space="0" w:color="auto"/>
        <w:bottom w:val="none" w:sz="0" w:space="0" w:color="auto"/>
        <w:right w:val="none" w:sz="0" w:space="0" w:color="auto"/>
      </w:divBdr>
    </w:div>
    <w:div w:id="1283420417">
      <w:bodyDiv w:val="1"/>
      <w:marLeft w:val="0"/>
      <w:marRight w:val="0"/>
      <w:marTop w:val="0"/>
      <w:marBottom w:val="0"/>
      <w:divBdr>
        <w:top w:val="none" w:sz="0" w:space="0" w:color="auto"/>
        <w:left w:val="none" w:sz="0" w:space="0" w:color="auto"/>
        <w:bottom w:val="none" w:sz="0" w:space="0" w:color="auto"/>
        <w:right w:val="none" w:sz="0" w:space="0" w:color="auto"/>
      </w:divBdr>
    </w:div>
    <w:div w:id="1287736502">
      <w:bodyDiv w:val="1"/>
      <w:marLeft w:val="0"/>
      <w:marRight w:val="0"/>
      <w:marTop w:val="0"/>
      <w:marBottom w:val="0"/>
      <w:divBdr>
        <w:top w:val="none" w:sz="0" w:space="0" w:color="auto"/>
        <w:left w:val="none" w:sz="0" w:space="0" w:color="auto"/>
        <w:bottom w:val="none" w:sz="0" w:space="0" w:color="auto"/>
        <w:right w:val="none" w:sz="0" w:space="0" w:color="auto"/>
      </w:divBdr>
    </w:div>
    <w:div w:id="1290939369">
      <w:bodyDiv w:val="1"/>
      <w:marLeft w:val="0"/>
      <w:marRight w:val="0"/>
      <w:marTop w:val="0"/>
      <w:marBottom w:val="0"/>
      <w:divBdr>
        <w:top w:val="none" w:sz="0" w:space="0" w:color="auto"/>
        <w:left w:val="none" w:sz="0" w:space="0" w:color="auto"/>
        <w:bottom w:val="none" w:sz="0" w:space="0" w:color="auto"/>
        <w:right w:val="none" w:sz="0" w:space="0" w:color="auto"/>
      </w:divBdr>
    </w:div>
    <w:div w:id="1291981496">
      <w:bodyDiv w:val="1"/>
      <w:marLeft w:val="0"/>
      <w:marRight w:val="0"/>
      <w:marTop w:val="0"/>
      <w:marBottom w:val="0"/>
      <w:divBdr>
        <w:top w:val="none" w:sz="0" w:space="0" w:color="auto"/>
        <w:left w:val="none" w:sz="0" w:space="0" w:color="auto"/>
        <w:bottom w:val="none" w:sz="0" w:space="0" w:color="auto"/>
        <w:right w:val="none" w:sz="0" w:space="0" w:color="auto"/>
      </w:divBdr>
    </w:div>
    <w:div w:id="1300382150">
      <w:bodyDiv w:val="1"/>
      <w:marLeft w:val="0"/>
      <w:marRight w:val="0"/>
      <w:marTop w:val="0"/>
      <w:marBottom w:val="0"/>
      <w:divBdr>
        <w:top w:val="none" w:sz="0" w:space="0" w:color="auto"/>
        <w:left w:val="none" w:sz="0" w:space="0" w:color="auto"/>
        <w:bottom w:val="none" w:sz="0" w:space="0" w:color="auto"/>
        <w:right w:val="none" w:sz="0" w:space="0" w:color="auto"/>
      </w:divBdr>
    </w:div>
    <w:div w:id="1307393240">
      <w:bodyDiv w:val="1"/>
      <w:marLeft w:val="0"/>
      <w:marRight w:val="0"/>
      <w:marTop w:val="0"/>
      <w:marBottom w:val="0"/>
      <w:divBdr>
        <w:top w:val="none" w:sz="0" w:space="0" w:color="auto"/>
        <w:left w:val="none" w:sz="0" w:space="0" w:color="auto"/>
        <w:bottom w:val="none" w:sz="0" w:space="0" w:color="auto"/>
        <w:right w:val="none" w:sz="0" w:space="0" w:color="auto"/>
      </w:divBdr>
    </w:div>
    <w:div w:id="1310285749">
      <w:bodyDiv w:val="1"/>
      <w:marLeft w:val="0"/>
      <w:marRight w:val="0"/>
      <w:marTop w:val="0"/>
      <w:marBottom w:val="0"/>
      <w:divBdr>
        <w:top w:val="none" w:sz="0" w:space="0" w:color="auto"/>
        <w:left w:val="none" w:sz="0" w:space="0" w:color="auto"/>
        <w:bottom w:val="none" w:sz="0" w:space="0" w:color="auto"/>
        <w:right w:val="none" w:sz="0" w:space="0" w:color="auto"/>
      </w:divBdr>
    </w:div>
    <w:div w:id="1312711388">
      <w:bodyDiv w:val="1"/>
      <w:marLeft w:val="0"/>
      <w:marRight w:val="0"/>
      <w:marTop w:val="0"/>
      <w:marBottom w:val="0"/>
      <w:divBdr>
        <w:top w:val="none" w:sz="0" w:space="0" w:color="auto"/>
        <w:left w:val="none" w:sz="0" w:space="0" w:color="auto"/>
        <w:bottom w:val="none" w:sz="0" w:space="0" w:color="auto"/>
        <w:right w:val="none" w:sz="0" w:space="0" w:color="auto"/>
      </w:divBdr>
    </w:div>
    <w:div w:id="1321080555">
      <w:bodyDiv w:val="1"/>
      <w:marLeft w:val="0"/>
      <w:marRight w:val="0"/>
      <w:marTop w:val="0"/>
      <w:marBottom w:val="0"/>
      <w:divBdr>
        <w:top w:val="none" w:sz="0" w:space="0" w:color="auto"/>
        <w:left w:val="none" w:sz="0" w:space="0" w:color="auto"/>
        <w:bottom w:val="none" w:sz="0" w:space="0" w:color="auto"/>
        <w:right w:val="none" w:sz="0" w:space="0" w:color="auto"/>
      </w:divBdr>
    </w:div>
    <w:div w:id="1321886368">
      <w:bodyDiv w:val="1"/>
      <w:marLeft w:val="0"/>
      <w:marRight w:val="0"/>
      <w:marTop w:val="0"/>
      <w:marBottom w:val="0"/>
      <w:divBdr>
        <w:top w:val="none" w:sz="0" w:space="0" w:color="auto"/>
        <w:left w:val="none" w:sz="0" w:space="0" w:color="auto"/>
        <w:bottom w:val="none" w:sz="0" w:space="0" w:color="auto"/>
        <w:right w:val="none" w:sz="0" w:space="0" w:color="auto"/>
      </w:divBdr>
    </w:div>
    <w:div w:id="1327053393">
      <w:bodyDiv w:val="1"/>
      <w:marLeft w:val="0"/>
      <w:marRight w:val="0"/>
      <w:marTop w:val="0"/>
      <w:marBottom w:val="0"/>
      <w:divBdr>
        <w:top w:val="none" w:sz="0" w:space="0" w:color="auto"/>
        <w:left w:val="none" w:sz="0" w:space="0" w:color="auto"/>
        <w:bottom w:val="none" w:sz="0" w:space="0" w:color="auto"/>
        <w:right w:val="none" w:sz="0" w:space="0" w:color="auto"/>
      </w:divBdr>
    </w:div>
    <w:div w:id="1338387357">
      <w:bodyDiv w:val="1"/>
      <w:marLeft w:val="0"/>
      <w:marRight w:val="0"/>
      <w:marTop w:val="0"/>
      <w:marBottom w:val="0"/>
      <w:divBdr>
        <w:top w:val="none" w:sz="0" w:space="0" w:color="auto"/>
        <w:left w:val="none" w:sz="0" w:space="0" w:color="auto"/>
        <w:bottom w:val="none" w:sz="0" w:space="0" w:color="auto"/>
        <w:right w:val="none" w:sz="0" w:space="0" w:color="auto"/>
      </w:divBdr>
    </w:div>
    <w:div w:id="1343240881">
      <w:bodyDiv w:val="1"/>
      <w:marLeft w:val="0"/>
      <w:marRight w:val="0"/>
      <w:marTop w:val="0"/>
      <w:marBottom w:val="0"/>
      <w:divBdr>
        <w:top w:val="none" w:sz="0" w:space="0" w:color="auto"/>
        <w:left w:val="none" w:sz="0" w:space="0" w:color="auto"/>
        <w:bottom w:val="none" w:sz="0" w:space="0" w:color="auto"/>
        <w:right w:val="none" w:sz="0" w:space="0" w:color="auto"/>
      </w:divBdr>
    </w:div>
    <w:div w:id="1344819267">
      <w:bodyDiv w:val="1"/>
      <w:marLeft w:val="0"/>
      <w:marRight w:val="0"/>
      <w:marTop w:val="0"/>
      <w:marBottom w:val="0"/>
      <w:divBdr>
        <w:top w:val="none" w:sz="0" w:space="0" w:color="auto"/>
        <w:left w:val="none" w:sz="0" w:space="0" w:color="auto"/>
        <w:bottom w:val="none" w:sz="0" w:space="0" w:color="auto"/>
        <w:right w:val="none" w:sz="0" w:space="0" w:color="auto"/>
      </w:divBdr>
    </w:div>
    <w:div w:id="1352337819">
      <w:bodyDiv w:val="1"/>
      <w:marLeft w:val="0"/>
      <w:marRight w:val="0"/>
      <w:marTop w:val="0"/>
      <w:marBottom w:val="0"/>
      <w:divBdr>
        <w:top w:val="none" w:sz="0" w:space="0" w:color="auto"/>
        <w:left w:val="none" w:sz="0" w:space="0" w:color="auto"/>
        <w:bottom w:val="none" w:sz="0" w:space="0" w:color="auto"/>
        <w:right w:val="none" w:sz="0" w:space="0" w:color="auto"/>
      </w:divBdr>
    </w:div>
    <w:div w:id="1356691958">
      <w:bodyDiv w:val="1"/>
      <w:marLeft w:val="0"/>
      <w:marRight w:val="0"/>
      <w:marTop w:val="0"/>
      <w:marBottom w:val="0"/>
      <w:divBdr>
        <w:top w:val="none" w:sz="0" w:space="0" w:color="auto"/>
        <w:left w:val="none" w:sz="0" w:space="0" w:color="auto"/>
        <w:bottom w:val="none" w:sz="0" w:space="0" w:color="auto"/>
        <w:right w:val="none" w:sz="0" w:space="0" w:color="auto"/>
      </w:divBdr>
    </w:div>
    <w:div w:id="1358313973">
      <w:bodyDiv w:val="1"/>
      <w:marLeft w:val="0"/>
      <w:marRight w:val="0"/>
      <w:marTop w:val="0"/>
      <w:marBottom w:val="0"/>
      <w:divBdr>
        <w:top w:val="none" w:sz="0" w:space="0" w:color="auto"/>
        <w:left w:val="none" w:sz="0" w:space="0" w:color="auto"/>
        <w:bottom w:val="none" w:sz="0" w:space="0" w:color="auto"/>
        <w:right w:val="none" w:sz="0" w:space="0" w:color="auto"/>
      </w:divBdr>
    </w:div>
    <w:div w:id="1364331074">
      <w:bodyDiv w:val="1"/>
      <w:marLeft w:val="0"/>
      <w:marRight w:val="0"/>
      <w:marTop w:val="0"/>
      <w:marBottom w:val="0"/>
      <w:divBdr>
        <w:top w:val="none" w:sz="0" w:space="0" w:color="auto"/>
        <w:left w:val="none" w:sz="0" w:space="0" w:color="auto"/>
        <w:bottom w:val="none" w:sz="0" w:space="0" w:color="auto"/>
        <w:right w:val="none" w:sz="0" w:space="0" w:color="auto"/>
      </w:divBdr>
    </w:div>
    <w:div w:id="1374697823">
      <w:bodyDiv w:val="1"/>
      <w:marLeft w:val="0"/>
      <w:marRight w:val="0"/>
      <w:marTop w:val="0"/>
      <w:marBottom w:val="0"/>
      <w:divBdr>
        <w:top w:val="none" w:sz="0" w:space="0" w:color="auto"/>
        <w:left w:val="none" w:sz="0" w:space="0" w:color="auto"/>
        <w:bottom w:val="none" w:sz="0" w:space="0" w:color="auto"/>
        <w:right w:val="none" w:sz="0" w:space="0" w:color="auto"/>
      </w:divBdr>
    </w:div>
    <w:div w:id="1380009828">
      <w:bodyDiv w:val="1"/>
      <w:marLeft w:val="0"/>
      <w:marRight w:val="0"/>
      <w:marTop w:val="0"/>
      <w:marBottom w:val="0"/>
      <w:divBdr>
        <w:top w:val="none" w:sz="0" w:space="0" w:color="auto"/>
        <w:left w:val="none" w:sz="0" w:space="0" w:color="auto"/>
        <w:bottom w:val="none" w:sz="0" w:space="0" w:color="auto"/>
        <w:right w:val="none" w:sz="0" w:space="0" w:color="auto"/>
      </w:divBdr>
    </w:div>
    <w:div w:id="1391659091">
      <w:bodyDiv w:val="1"/>
      <w:marLeft w:val="0"/>
      <w:marRight w:val="0"/>
      <w:marTop w:val="0"/>
      <w:marBottom w:val="0"/>
      <w:divBdr>
        <w:top w:val="none" w:sz="0" w:space="0" w:color="auto"/>
        <w:left w:val="none" w:sz="0" w:space="0" w:color="auto"/>
        <w:bottom w:val="none" w:sz="0" w:space="0" w:color="auto"/>
        <w:right w:val="none" w:sz="0" w:space="0" w:color="auto"/>
      </w:divBdr>
    </w:div>
    <w:div w:id="1395472692">
      <w:bodyDiv w:val="1"/>
      <w:marLeft w:val="0"/>
      <w:marRight w:val="0"/>
      <w:marTop w:val="0"/>
      <w:marBottom w:val="0"/>
      <w:divBdr>
        <w:top w:val="none" w:sz="0" w:space="0" w:color="auto"/>
        <w:left w:val="none" w:sz="0" w:space="0" w:color="auto"/>
        <w:bottom w:val="none" w:sz="0" w:space="0" w:color="auto"/>
        <w:right w:val="none" w:sz="0" w:space="0" w:color="auto"/>
      </w:divBdr>
    </w:div>
    <w:div w:id="1396856815">
      <w:bodyDiv w:val="1"/>
      <w:marLeft w:val="0"/>
      <w:marRight w:val="0"/>
      <w:marTop w:val="0"/>
      <w:marBottom w:val="0"/>
      <w:divBdr>
        <w:top w:val="none" w:sz="0" w:space="0" w:color="auto"/>
        <w:left w:val="none" w:sz="0" w:space="0" w:color="auto"/>
        <w:bottom w:val="none" w:sz="0" w:space="0" w:color="auto"/>
        <w:right w:val="none" w:sz="0" w:space="0" w:color="auto"/>
      </w:divBdr>
    </w:div>
    <w:div w:id="1397893132">
      <w:bodyDiv w:val="1"/>
      <w:marLeft w:val="0"/>
      <w:marRight w:val="0"/>
      <w:marTop w:val="0"/>
      <w:marBottom w:val="0"/>
      <w:divBdr>
        <w:top w:val="none" w:sz="0" w:space="0" w:color="auto"/>
        <w:left w:val="none" w:sz="0" w:space="0" w:color="auto"/>
        <w:bottom w:val="none" w:sz="0" w:space="0" w:color="auto"/>
        <w:right w:val="none" w:sz="0" w:space="0" w:color="auto"/>
      </w:divBdr>
    </w:div>
    <w:div w:id="1401558180">
      <w:bodyDiv w:val="1"/>
      <w:marLeft w:val="0"/>
      <w:marRight w:val="0"/>
      <w:marTop w:val="0"/>
      <w:marBottom w:val="0"/>
      <w:divBdr>
        <w:top w:val="none" w:sz="0" w:space="0" w:color="auto"/>
        <w:left w:val="none" w:sz="0" w:space="0" w:color="auto"/>
        <w:bottom w:val="none" w:sz="0" w:space="0" w:color="auto"/>
        <w:right w:val="none" w:sz="0" w:space="0" w:color="auto"/>
      </w:divBdr>
    </w:div>
    <w:div w:id="1405375295">
      <w:bodyDiv w:val="1"/>
      <w:marLeft w:val="0"/>
      <w:marRight w:val="0"/>
      <w:marTop w:val="0"/>
      <w:marBottom w:val="0"/>
      <w:divBdr>
        <w:top w:val="none" w:sz="0" w:space="0" w:color="auto"/>
        <w:left w:val="none" w:sz="0" w:space="0" w:color="auto"/>
        <w:bottom w:val="none" w:sz="0" w:space="0" w:color="auto"/>
        <w:right w:val="none" w:sz="0" w:space="0" w:color="auto"/>
      </w:divBdr>
    </w:div>
    <w:div w:id="1409571894">
      <w:bodyDiv w:val="1"/>
      <w:marLeft w:val="0"/>
      <w:marRight w:val="0"/>
      <w:marTop w:val="0"/>
      <w:marBottom w:val="0"/>
      <w:divBdr>
        <w:top w:val="none" w:sz="0" w:space="0" w:color="auto"/>
        <w:left w:val="none" w:sz="0" w:space="0" w:color="auto"/>
        <w:bottom w:val="none" w:sz="0" w:space="0" w:color="auto"/>
        <w:right w:val="none" w:sz="0" w:space="0" w:color="auto"/>
      </w:divBdr>
    </w:div>
    <w:div w:id="1414012289">
      <w:bodyDiv w:val="1"/>
      <w:marLeft w:val="0"/>
      <w:marRight w:val="0"/>
      <w:marTop w:val="0"/>
      <w:marBottom w:val="0"/>
      <w:divBdr>
        <w:top w:val="none" w:sz="0" w:space="0" w:color="auto"/>
        <w:left w:val="none" w:sz="0" w:space="0" w:color="auto"/>
        <w:bottom w:val="none" w:sz="0" w:space="0" w:color="auto"/>
        <w:right w:val="none" w:sz="0" w:space="0" w:color="auto"/>
      </w:divBdr>
    </w:div>
    <w:div w:id="1416316504">
      <w:bodyDiv w:val="1"/>
      <w:marLeft w:val="0"/>
      <w:marRight w:val="0"/>
      <w:marTop w:val="0"/>
      <w:marBottom w:val="0"/>
      <w:divBdr>
        <w:top w:val="none" w:sz="0" w:space="0" w:color="auto"/>
        <w:left w:val="none" w:sz="0" w:space="0" w:color="auto"/>
        <w:bottom w:val="none" w:sz="0" w:space="0" w:color="auto"/>
        <w:right w:val="none" w:sz="0" w:space="0" w:color="auto"/>
      </w:divBdr>
    </w:div>
    <w:div w:id="1424376850">
      <w:bodyDiv w:val="1"/>
      <w:marLeft w:val="0"/>
      <w:marRight w:val="0"/>
      <w:marTop w:val="0"/>
      <w:marBottom w:val="0"/>
      <w:divBdr>
        <w:top w:val="none" w:sz="0" w:space="0" w:color="auto"/>
        <w:left w:val="none" w:sz="0" w:space="0" w:color="auto"/>
        <w:bottom w:val="none" w:sz="0" w:space="0" w:color="auto"/>
        <w:right w:val="none" w:sz="0" w:space="0" w:color="auto"/>
      </w:divBdr>
    </w:div>
    <w:div w:id="1430394749">
      <w:bodyDiv w:val="1"/>
      <w:marLeft w:val="0"/>
      <w:marRight w:val="0"/>
      <w:marTop w:val="0"/>
      <w:marBottom w:val="0"/>
      <w:divBdr>
        <w:top w:val="none" w:sz="0" w:space="0" w:color="auto"/>
        <w:left w:val="none" w:sz="0" w:space="0" w:color="auto"/>
        <w:bottom w:val="none" w:sz="0" w:space="0" w:color="auto"/>
        <w:right w:val="none" w:sz="0" w:space="0" w:color="auto"/>
      </w:divBdr>
    </w:div>
    <w:div w:id="1437210353">
      <w:bodyDiv w:val="1"/>
      <w:marLeft w:val="0"/>
      <w:marRight w:val="0"/>
      <w:marTop w:val="0"/>
      <w:marBottom w:val="0"/>
      <w:divBdr>
        <w:top w:val="none" w:sz="0" w:space="0" w:color="auto"/>
        <w:left w:val="none" w:sz="0" w:space="0" w:color="auto"/>
        <w:bottom w:val="none" w:sz="0" w:space="0" w:color="auto"/>
        <w:right w:val="none" w:sz="0" w:space="0" w:color="auto"/>
      </w:divBdr>
    </w:div>
    <w:div w:id="1449083269">
      <w:bodyDiv w:val="1"/>
      <w:marLeft w:val="0"/>
      <w:marRight w:val="0"/>
      <w:marTop w:val="0"/>
      <w:marBottom w:val="0"/>
      <w:divBdr>
        <w:top w:val="none" w:sz="0" w:space="0" w:color="auto"/>
        <w:left w:val="none" w:sz="0" w:space="0" w:color="auto"/>
        <w:bottom w:val="none" w:sz="0" w:space="0" w:color="auto"/>
        <w:right w:val="none" w:sz="0" w:space="0" w:color="auto"/>
      </w:divBdr>
    </w:div>
    <w:div w:id="1449351338">
      <w:bodyDiv w:val="1"/>
      <w:marLeft w:val="0"/>
      <w:marRight w:val="0"/>
      <w:marTop w:val="0"/>
      <w:marBottom w:val="0"/>
      <w:divBdr>
        <w:top w:val="none" w:sz="0" w:space="0" w:color="auto"/>
        <w:left w:val="none" w:sz="0" w:space="0" w:color="auto"/>
        <w:bottom w:val="none" w:sz="0" w:space="0" w:color="auto"/>
        <w:right w:val="none" w:sz="0" w:space="0" w:color="auto"/>
      </w:divBdr>
    </w:div>
    <w:div w:id="1450472032">
      <w:bodyDiv w:val="1"/>
      <w:marLeft w:val="0"/>
      <w:marRight w:val="0"/>
      <w:marTop w:val="0"/>
      <w:marBottom w:val="0"/>
      <w:divBdr>
        <w:top w:val="none" w:sz="0" w:space="0" w:color="auto"/>
        <w:left w:val="none" w:sz="0" w:space="0" w:color="auto"/>
        <w:bottom w:val="none" w:sz="0" w:space="0" w:color="auto"/>
        <w:right w:val="none" w:sz="0" w:space="0" w:color="auto"/>
      </w:divBdr>
    </w:div>
    <w:div w:id="1452701263">
      <w:bodyDiv w:val="1"/>
      <w:marLeft w:val="0"/>
      <w:marRight w:val="0"/>
      <w:marTop w:val="0"/>
      <w:marBottom w:val="0"/>
      <w:divBdr>
        <w:top w:val="none" w:sz="0" w:space="0" w:color="auto"/>
        <w:left w:val="none" w:sz="0" w:space="0" w:color="auto"/>
        <w:bottom w:val="none" w:sz="0" w:space="0" w:color="auto"/>
        <w:right w:val="none" w:sz="0" w:space="0" w:color="auto"/>
      </w:divBdr>
    </w:div>
    <w:div w:id="1456487086">
      <w:bodyDiv w:val="1"/>
      <w:marLeft w:val="0"/>
      <w:marRight w:val="0"/>
      <w:marTop w:val="0"/>
      <w:marBottom w:val="0"/>
      <w:divBdr>
        <w:top w:val="none" w:sz="0" w:space="0" w:color="auto"/>
        <w:left w:val="none" w:sz="0" w:space="0" w:color="auto"/>
        <w:bottom w:val="none" w:sz="0" w:space="0" w:color="auto"/>
        <w:right w:val="none" w:sz="0" w:space="0" w:color="auto"/>
      </w:divBdr>
    </w:div>
    <w:div w:id="1476751655">
      <w:bodyDiv w:val="1"/>
      <w:marLeft w:val="0"/>
      <w:marRight w:val="0"/>
      <w:marTop w:val="0"/>
      <w:marBottom w:val="0"/>
      <w:divBdr>
        <w:top w:val="none" w:sz="0" w:space="0" w:color="auto"/>
        <w:left w:val="none" w:sz="0" w:space="0" w:color="auto"/>
        <w:bottom w:val="none" w:sz="0" w:space="0" w:color="auto"/>
        <w:right w:val="none" w:sz="0" w:space="0" w:color="auto"/>
      </w:divBdr>
    </w:div>
    <w:div w:id="1478304209">
      <w:bodyDiv w:val="1"/>
      <w:marLeft w:val="0"/>
      <w:marRight w:val="0"/>
      <w:marTop w:val="0"/>
      <w:marBottom w:val="0"/>
      <w:divBdr>
        <w:top w:val="none" w:sz="0" w:space="0" w:color="auto"/>
        <w:left w:val="none" w:sz="0" w:space="0" w:color="auto"/>
        <w:bottom w:val="none" w:sz="0" w:space="0" w:color="auto"/>
        <w:right w:val="none" w:sz="0" w:space="0" w:color="auto"/>
      </w:divBdr>
    </w:div>
    <w:div w:id="1481649692">
      <w:bodyDiv w:val="1"/>
      <w:marLeft w:val="0"/>
      <w:marRight w:val="0"/>
      <w:marTop w:val="0"/>
      <w:marBottom w:val="0"/>
      <w:divBdr>
        <w:top w:val="none" w:sz="0" w:space="0" w:color="auto"/>
        <w:left w:val="none" w:sz="0" w:space="0" w:color="auto"/>
        <w:bottom w:val="none" w:sz="0" w:space="0" w:color="auto"/>
        <w:right w:val="none" w:sz="0" w:space="0" w:color="auto"/>
      </w:divBdr>
    </w:div>
    <w:div w:id="1482769982">
      <w:bodyDiv w:val="1"/>
      <w:marLeft w:val="0"/>
      <w:marRight w:val="0"/>
      <w:marTop w:val="0"/>
      <w:marBottom w:val="0"/>
      <w:divBdr>
        <w:top w:val="none" w:sz="0" w:space="0" w:color="auto"/>
        <w:left w:val="none" w:sz="0" w:space="0" w:color="auto"/>
        <w:bottom w:val="none" w:sz="0" w:space="0" w:color="auto"/>
        <w:right w:val="none" w:sz="0" w:space="0" w:color="auto"/>
      </w:divBdr>
    </w:div>
    <w:div w:id="1493369991">
      <w:bodyDiv w:val="1"/>
      <w:marLeft w:val="0"/>
      <w:marRight w:val="0"/>
      <w:marTop w:val="0"/>
      <w:marBottom w:val="0"/>
      <w:divBdr>
        <w:top w:val="none" w:sz="0" w:space="0" w:color="auto"/>
        <w:left w:val="none" w:sz="0" w:space="0" w:color="auto"/>
        <w:bottom w:val="none" w:sz="0" w:space="0" w:color="auto"/>
        <w:right w:val="none" w:sz="0" w:space="0" w:color="auto"/>
      </w:divBdr>
    </w:div>
    <w:div w:id="1495488325">
      <w:bodyDiv w:val="1"/>
      <w:marLeft w:val="0"/>
      <w:marRight w:val="0"/>
      <w:marTop w:val="0"/>
      <w:marBottom w:val="0"/>
      <w:divBdr>
        <w:top w:val="none" w:sz="0" w:space="0" w:color="auto"/>
        <w:left w:val="none" w:sz="0" w:space="0" w:color="auto"/>
        <w:bottom w:val="none" w:sz="0" w:space="0" w:color="auto"/>
        <w:right w:val="none" w:sz="0" w:space="0" w:color="auto"/>
      </w:divBdr>
    </w:div>
    <w:div w:id="1496995012">
      <w:bodyDiv w:val="1"/>
      <w:marLeft w:val="0"/>
      <w:marRight w:val="0"/>
      <w:marTop w:val="0"/>
      <w:marBottom w:val="0"/>
      <w:divBdr>
        <w:top w:val="none" w:sz="0" w:space="0" w:color="auto"/>
        <w:left w:val="none" w:sz="0" w:space="0" w:color="auto"/>
        <w:bottom w:val="none" w:sz="0" w:space="0" w:color="auto"/>
        <w:right w:val="none" w:sz="0" w:space="0" w:color="auto"/>
      </w:divBdr>
    </w:div>
    <w:div w:id="1498888904">
      <w:bodyDiv w:val="1"/>
      <w:marLeft w:val="0"/>
      <w:marRight w:val="0"/>
      <w:marTop w:val="0"/>
      <w:marBottom w:val="0"/>
      <w:divBdr>
        <w:top w:val="none" w:sz="0" w:space="0" w:color="auto"/>
        <w:left w:val="none" w:sz="0" w:space="0" w:color="auto"/>
        <w:bottom w:val="none" w:sz="0" w:space="0" w:color="auto"/>
        <w:right w:val="none" w:sz="0" w:space="0" w:color="auto"/>
      </w:divBdr>
    </w:div>
    <w:div w:id="1508981067">
      <w:bodyDiv w:val="1"/>
      <w:marLeft w:val="0"/>
      <w:marRight w:val="0"/>
      <w:marTop w:val="0"/>
      <w:marBottom w:val="0"/>
      <w:divBdr>
        <w:top w:val="none" w:sz="0" w:space="0" w:color="auto"/>
        <w:left w:val="none" w:sz="0" w:space="0" w:color="auto"/>
        <w:bottom w:val="none" w:sz="0" w:space="0" w:color="auto"/>
        <w:right w:val="none" w:sz="0" w:space="0" w:color="auto"/>
      </w:divBdr>
    </w:div>
    <w:div w:id="1509754659">
      <w:bodyDiv w:val="1"/>
      <w:marLeft w:val="0"/>
      <w:marRight w:val="0"/>
      <w:marTop w:val="0"/>
      <w:marBottom w:val="0"/>
      <w:divBdr>
        <w:top w:val="none" w:sz="0" w:space="0" w:color="auto"/>
        <w:left w:val="none" w:sz="0" w:space="0" w:color="auto"/>
        <w:bottom w:val="none" w:sz="0" w:space="0" w:color="auto"/>
        <w:right w:val="none" w:sz="0" w:space="0" w:color="auto"/>
      </w:divBdr>
    </w:div>
    <w:div w:id="1544099186">
      <w:bodyDiv w:val="1"/>
      <w:marLeft w:val="0"/>
      <w:marRight w:val="0"/>
      <w:marTop w:val="0"/>
      <w:marBottom w:val="0"/>
      <w:divBdr>
        <w:top w:val="none" w:sz="0" w:space="0" w:color="auto"/>
        <w:left w:val="none" w:sz="0" w:space="0" w:color="auto"/>
        <w:bottom w:val="none" w:sz="0" w:space="0" w:color="auto"/>
        <w:right w:val="none" w:sz="0" w:space="0" w:color="auto"/>
      </w:divBdr>
    </w:div>
    <w:div w:id="1545868481">
      <w:bodyDiv w:val="1"/>
      <w:marLeft w:val="0"/>
      <w:marRight w:val="0"/>
      <w:marTop w:val="0"/>
      <w:marBottom w:val="0"/>
      <w:divBdr>
        <w:top w:val="none" w:sz="0" w:space="0" w:color="auto"/>
        <w:left w:val="none" w:sz="0" w:space="0" w:color="auto"/>
        <w:bottom w:val="none" w:sz="0" w:space="0" w:color="auto"/>
        <w:right w:val="none" w:sz="0" w:space="0" w:color="auto"/>
      </w:divBdr>
    </w:div>
    <w:div w:id="1550612503">
      <w:bodyDiv w:val="1"/>
      <w:marLeft w:val="0"/>
      <w:marRight w:val="0"/>
      <w:marTop w:val="0"/>
      <w:marBottom w:val="0"/>
      <w:divBdr>
        <w:top w:val="none" w:sz="0" w:space="0" w:color="auto"/>
        <w:left w:val="none" w:sz="0" w:space="0" w:color="auto"/>
        <w:bottom w:val="none" w:sz="0" w:space="0" w:color="auto"/>
        <w:right w:val="none" w:sz="0" w:space="0" w:color="auto"/>
      </w:divBdr>
    </w:div>
    <w:div w:id="1558278897">
      <w:bodyDiv w:val="1"/>
      <w:marLeft w:val="0"/>
      <w:marRight w:val="0"/>
      <w:marTop w:val="0"/>
      <w:marBottom w:val="0"/>
      <w:divBdr>
        <w:top w:val="none" w:sz="0" w:space="0" w:color="auto"/>
        <w:left w:val="none" w:sz="0" w:space="0" w:color="auto"/>
        <w:bottom w:val="none" w:sz="0" w:space="0" w:color="auto"/>
        <w:right w:val="none" w:sz="0" w:space="0" w:color="auto"/>
      </w:divBdr>
    </w:div>
    <w:div w:id="1561359421">
      <w:bodyDiv w:val="1"/>
      <w:marLeft w:val="0"/>
      <w:marRight w:val="0"/>
      <w:marTop w:val="0"/>
      <w:marBottom w:val="0"/>
      <w:divBdr>
        <w:top w:val="none" w:sz="0" w:space="0" w:color="auto"/>
        <w:left w:val="none" w:sz="0" w:space="0" w:color="auto"/>
        <w:bottom w:val="none" w:sz="0" w:space="0" w:color="auto"/>
        <w:right w:val="none" w:sz="0" w:space="0" w:color="auto"/>
      </w:divBdr>
    </w:div>
    <w:div w:id="1564100070">
      <w:bodyDiv w:val="1"/>
      <w:marLeft w:val="0"/>
      <w:marRight w:val="0"/>
      <w:marTop w:val="0"/>
      <w:marBottom w:val="0"/>
      <w:divBdr>
        <w:top w:val="none" w:sz="0" w:space="0" w:color="auto"/>
        <w:left w:val="none" w:sz="0" w:space="0" w:color="auto"/>
        <w:bottom w:val="none" w:sz="0" w:space="0" w:color="auto"/>
        <w:right w:val="none" w:sz="0" w:space="0" w:color="auto"/>
      </w:divBdr>
    </w:div>
    <w:div w:id="1568225624">
      <w:bodyDiv w:val="1"/>
      <w:marLeft w:val="0"/>
      <w:marRight w:val="0"/>
      <w:marTop w:val="0"/>
      <w:marBottom w:val="0"/>
      <w:divBdr>
        <w:top w:val="none" w:sz="0" w:space="0" w:color="auto"/>
        <w:left w:val="none" w:sz="0" w:space="0" w:color="auto"/>
        <w:bottom w:val="none" w:sz="0" w:space="0" w:color="auto"/>
        <w:right w:val="none" w:sz="0" w:space="0" w:color="auto"/>
      </w:divBdr>
    </w:div>
    <w:div w:id="1570070409">
      <w:bodyDiv w:val="1"/>
      <w:marLeft w:val="0"/>
      <w:marRight w:val="0"/>
      <w:marTop w:val="0"/>
      <w:marBottom w:val="0"/>
      <w:divBdr>
        <w:top w:val="none" w:sz="0" w:space="0" w:color="auto"/>
        <w:left w:val="none" w:sz="0" w:space="0" w:color="auto"/>
        <w:bottom w:val="none" w:sz="0" w:space="0" w:color="auto"/>
        <w:right w:val="none" w:sz="0" w:space="0" w:color="auto"/>
      </w:divBdr>
    </w:div>
    <w:div w:id="1570191100">
      <w:bodyDiv w:val="1"/>
      <w:marLeft w:val="0"/>
      <w:marRight w:val="0"/>
      <w:marTop w:val="0"/>
      <w:marBottom w:val="0"/>
      <w:divBdr>
        <w:top w:val="none" w:sz="0" w:space="0" w:color="auto"/>
        <w:left w:val="none" w:sz="0" w:space="0" w:color="auto"/>
        <w:bottom w:val="none" w:sz="0" w:space="0" w:color="auto"/>
        <w:right w:val="none" w:sz="0" w:space="0" w:color="auto"/>
      </w:divBdr>
    </w:div>
    <w:div w:id="1573856646">
      <w:bodyDiv w:val="1"/>
      <w:marLeft w:val="0"/>
      <w:marRight w:val="0"/>
      <w:marTop w:val="0"/>
      <w:marBottom w:val="0"/>
      <w:divBdr>
        <w:top w:val="none" w:sz="0" w:space="0" w:color="auto"/>
        <w:left w:val="none" w:sz="0" w:space="0" w:color="auto"/>
        <w:bottom w:val="none" w:sz="0" w:space="0" w:color="auto"/>
        <w:right w:val="none" w:sz="0" w:space="0" w:color="auto"/>
      </w:divBdr>
    </w:div>
    <w:div w:id="1583097690">
      <w:bodyDiv w:val="1"/>
      <w:marLeft w:val="0"/>
      <w:marRight w:val="0"/>
      <w:marTop w:val="0"/>
      <w:marBottom w:val="0"/>
      <w:divBdr>
        <w:top w:val="none" w:sz="0" w:space="0" w:color="auto"/>
        <w:left w:val="none" w:sz="0" w:space="0" w:color="auto"/>
        <w:bottom w:val="none" w:sz="0" w:space="0" w:color="auto"/>
        <w:right w:val="none" w:sz="0" w:space="0" w:color="auto"/>
      </w:divBdr>
    </w:div>
    <w:div w:id="1590194439">
      <w:bodyDiv w:val="1"/>
      <w:marLeft w:val="0"/>
      <w:marRight w:val="0"/>
      <w:marTop w:val="0"/>
      <w:marBottom w:val="0"/>
      <w:divBdr>
        <w:top w:val="none" w:sz="0" w:space="0" w:color="auto"/>
        <w:left w:val="none" w:sz="0" w:space="0" w:color="auto"/>
        <w:bottom w:val="none" w:sz="0" w:space="0" w:color="auto"/>
        <w:right w:val="none" w:sz="0" w:space="0" w:color="auto"/>
      </w:divBdr>
    </w:div>
    <w:div w:id="1590768606">
      <w:bodyDiv w:val="1"/>
      <w:marLeft w:val="0"/>
      <w:marRight w:val="0"/>
      <w:marTop w:val="0"/>
      <w:marBottom w:val="0"/>
      <w:divBdr>
        <w:top w:val="none" w:sz="0" w:space="0" w:color="auto"/>
        <w:left w:val="none" w:sz="0" w:space="0" w:color="auto"/>
        <w:bottom w:val="none" w:sz="0" w:space="0" w:color="auto"/>
        <w:right w:val="none" w:sz="0" w:space="0" w:color="auto"/>
      </w:divBdr>
    </w:div>
    <w:div w:id="1591549178">
      <w:bodyDiv w:val="1"/>
      <w:marLeft w:val="0"/>
      <w:marRight w:val="0"/>
      <w:marTop w:val="0"/>
      <w:marBottom w:val="0"/>
      <w:divBdr>
        <w:top w:val="none" w:sz="0" w:space="0" w:color="auto"/>
        <w:left w:val="none" w:sz="0" w:space="0" w:color="auto"/>
        <w:bottom w:val="none" w:sz="0" w:space="0" w:color="auto"/>
        <w:right w:val="none" w:sz="0" w:space="0" w:color="auto"/>
      </w:divBdr>
    </w:div>
    <w:div w:id="1594630356">
      <w:bodyDiv w:val="1"/>
      <w:marLeft w:val="0"/>
      <w:marRight w:val="0"/>
      <w:marTop w:val="0"/>
      <w:marBottom w:val="0"/>
      <w:divBdr>
        <w:top w:val="none" w:sz="0" w:space="0" w:color="auto"/>
        <w:left w:val="none" w:sz="0" w:space="0" w:color="auto"/>
        <w:bottom w:val="none" w:sz="0" w:space="0" w:color="auto"/>
        <w:right w:val="none" w:sz="0" w:space="0" w:color="auto"/>
      </w:divBdr>
    </w:div>
    <w:div w:id="1594974175">
      <w:bodyDiv w:val="1"/>
      <w:marLeft w:val="0"/>
      <w:marRight w:val="0"/>
      <w:marTop w:val="0"/>
      <w:marBottom w:val="0"/>
      <w:divBdr>
        <w:top w:val="none" w:sz="0" w:space="0" w:color="auto"/>
        <w:left w:val="none" w:sz="0" w:space="0" w:color="auto"/>
        <w:bottom w:val="none" w:sz="0" w:space="0" w:color="auto"/>
        <w:right w:val="none" w:sz="0" w:space="0" w:color="auto"/>
      </w:divBdr>
    </w:div>
    <w:div w:id="1607155457">
      <w:bodyDiv w:val="1"/>
      <w:marLeft w:val="0"/>
      <w:marRight w:val="0"/>
      <w:marTop w:val="0"/>
      <w:marBottom w:val="0"/>
      <w:divBdr>
        <w:top w:val="none" w:sz="0" w:space="0" w:color="auto"/>
        <w:left w:val="none" w:sz="0" w:space="0" w:color="auto"/>
        <w:bottom w:val="none" w:sz="0" w:space="0" w:color="auto"/>
        <w:right w:val="none" w:sz="0" w:space="0" w:color="auto"/>
      </w:divBdr>
    </w:div>
    <w:div w:id="1610619634">
      <w:bodyDiv w:val="1"/>
      <w:marLeft w:val="0"/>
      <w:marRight w:val="0"/>
      <w:marTop w:val="0"/>
      <w:marBottom w:val="0"/>
      <w:divBdr>
        <w:top w:val="none" w:sz="0" w:space="0" w:color="auto"/>
        <w:left w:val="none" w:sz="0" w:space="0" w:color="auto"/>
        <w:bottom w:val="none" w:sz="0" w:space="0" w:color="auto"/>
        <w:right w:val="none" w:sz="0" w:space="0" w:color="auto"/>
      </w:divBdr>
    </w:div>
    <w:div w:id="1616709576">
      <w:bodyDiv w:val="1"/>
      <w:marLeft w:val="0"/>
      <w:marRight w:val="0"/>
      <w:marTop w:val="0"/>
      <w:marBottom w:val="0"/>
      <w:divBdr>
        <w:top w:val="none" w:sz="0" w:space="0" w:color="auto"/>
        <w:left w:val="none" w:sz="0" w:space="0" w:color="auto"/>
        <w:bottom w:val="none" w:sz="0" w:space="0" w:color="auto"/>
        <w:right w:val="none" w:sz="0" w:space="0" w:color="auto"/>
      </w:divBdr>
    </w:div>
    <w:div w:id="1617056565">
      <w:bodyDiv w:val="1"/>
      <w:marLeft w:val="0"/>
      <w:marRight w:val="0"/>
      <w:marTop w:val="0"/>
      <w:marBottom w:val="0"/>
      <w:divBdr>
        <w:top w:val="none" w:sz="0" w:space="0" w:color="auto"/>
        <w:left w:val="none" w:sz="0" w:space="0" w:color="auto"/>
        <w:bottom w:val="none" w:sz="0" w:space="0" w:color="auto"/>
        <w:right w:val="none" w:sz="0" w:space="0" w:color="auto"/>
      </w:divBdr>
    </w:div>
    <w:div w:id="1619096215">
      <w:bodyDiv w:val="1"/>
      <w:marLeft w:val="0"/>
      <w:marRight w:val="0"/>
      <w:marTop w:val="0"/>
      <w:marBottom w:val="0"/>
      <w:divBdr>
        <w:top w:val="none" w:sz="0" w:space="0" w:color="auto"/>
        <w:left w:val="none" w:sz="0" w:space="0" w:color="auto"/>
        <w:bottom w:val="none" w:sz="0" w:space="0" w:color="auto"/>
        <w:right w:val="none" w:sz="0" w:space="0" w:color="auto"/>
      </w:divBdr>
    </w:div>
    <w:div w:id="1619220580">
      <w:bodyDiv w:val="1"/>
      <w:marLeft w:val="0"/>
      <w:marRight w:val="0"/>
      <w:marTop w:val="0"/>
      <w:marBottom w:val="0"/>
      <w:divBdr>
        <w:top w:val="none" w:sz="0" w:space="0" w:color="auto"/>
        <w:left w:val="none" w:sz="0" w:space="0" w:color="auto"/>
        <w:bottom w:val="none" w:sz="0" w:space="0" w:color="auto"/>
        <w:right w:val="none" w:sz="0" w:space="0" w:color="auto"/>
      </w:divBdr>
    </w:div>
    <w:div w:id="1621300315">
      <w:bodyDiv w:val="1"/>
      <w:marLeft w:val="0"/>
      <w:marRight w:val="0"/>
      <w:marTop w:val="0"/>
      <w:marBottom w:val="0"/>
      <w:divBdr>
        <w:top w:val="none" w:sz="0" w:space="0" w:color="auto"/>
        <w:left w:val="none" w:sz="0" w:space="0" w:color="auto"/>
        <w:bottom w:val="none" w:sz="0" w:space="0" w:color="auto"/>
        <w:right w:val="none" w:sz="0" w:space="0" w:color="auto"/>
      </w:divBdr>
    </w:div>
    <w:div w:id="1622761666">
      <w:bodyDiv w:val="1"/>
      <w:marLeft w:val="0"/>
      <w:marRight w:val="0"/>
      <w:marTop w:val="0"/>
      <w:marBottom w:val="0"/>
      <w:divBdr>
        <w:top w:val="none" w:sz="0" w:space="0" w:color="auto"/>
        <w:left w:val="none" w:sz="0" w:space="0" w:color="auto"/>
        <w:bottom w:val="none" w:sz="0" w:space="0" w:color="auto"/>
        <w:right w:val="none" w:sz="0" w:space="0" w:color="auto"/>
      </w:divBdr>
    </w:div>
    <w:div w:id="1632786911">
      <w:bodyDiv w:val="1"/>
      <w:marLeft w:val="0"/>
      <w:marRight w:val="0"/>
      <w:marTop w:val="0"/>
      <w:marBottom w:val="0"/>
      <w:divBdr>
        <w:top w:val="none" w:sz="0" w:space="0" w:color="auto"/>
        <w:left w:val="none" w:sz="0" w:space="0" w:color="auto"/>
        <w:bottom w:val="none" w:sz="0" w:space="0" w:color="auto"/>
        <w:right w:val="none" w:sz="0" w:space="0" w:color="auto"/>
      </w:divBdr>
    </w:div>
    <w:div w:id="1633486467">
      <w:bodyDiv w:val="1"/>
      <w:marLeft w:val="0"/>
      <w:marRight w:val="0"/>
      <w:marTop w:val="0"/>
      <w:marBottom w:val="0"/>
      <w:divBdr>
        <w:top w:val="none" w:sz="0" w:space="0" w:color="auto"/>
        <w:left w:val="none" w:sz="0" w:space="0" w:color="auto"/>
        <w:bottom w:val="none" w:sz="0" w:space="0" w:color="auto"/>
        <w:right w:val="none" w:sz="0" w:space="0" w:color="auto"/>
      </w:divBdr>
    </w:div>
    <w:div w:id="1649935956">
      <w:bodyDiv w:val="1"/>
      <w:marLeft w:val="0"/>
      <w:marRight w:val="0"/>
      <w:marTop w:val="0"/>
      <w:marBottom w:val="0"/>
      <w:divBdr>
        <w:top w:val="none" w:sz="0" w:space="0" w:color="auto"/>
        <w:left w:val="none" w:sz="0" w:space="0" w:color="auto"/>
        <w:bottom w:val="none" w:sz="0" w:space="0" w:color="auto"/>
        <w:right w:val="none" w:sz="0" w:space="0" w:color="auto"/>
      </w:divBdr>
    </w:div>
    <w:div w:id="1649939020">
      <w:bodyDiv w:val="1"/>
      <w:marLeft w:val="0"/>
      <w:marRight w:val="0"/>
      <w:marTop w:val="0"/>
      <w:marBottom w:val="0"/>
      <w:divBdr>
        <w:top w:val="none" w:sz="0" w:space="0" w:color="auto"/>
        <w:left w:val="none" w:sz="0" w:space="0" w:color="auto"/>
        <w:bottom w:val="none" w:sz="0" w:space="0" w:color="auto"/>
        <w:right w:val="none" w:sz="0" w:space="0" w:color="auto"/>
      </w:divBdr>
    </w:div>
    <w:div w:id="1661498172">
      <w:bodyDiv w:val="1"/>
      <w:marLeft w:val="0"/>
      <w:marRight w:val="0"/>
      <w:marTop w:val="0"/>
      <w:marBottom w:val="0"/>
      <w:divBdr>
        <w:top w:val="none" w:sz="0" w:space="0" w:color="auto"/>
        <w:left w:val="none" w:sz="0" w:space="0" w:color="auto"/>
        <w:bottom w:val="none" w:sz="0" w:space="0" w:color="auto"/>
        <w:right w:val="none" w:sz="0" w:space="0" w:color="auto"/>
      </w:divBdr>
    </w:div>
    <w:div w:id="1666010679">
      <w:bodyDiv w:val="1"/>
      <w:marLeft w:val="0"/>
      <w:marRight w:val="0"/>
      <w:marTop w:val="0"/>
      <w:marBottom w:val="0"/>
      <w:divBdr>
        <w:top w:val="none" w:sz="0" w:space="0" w:color="auto"/>
        <w:left w:val="none" w:sz="0" w:space="0" w:color="auto"/>
        <w:bottom w:val="none" w:sz="0" w:space="0" w:color="auto"/>
        <w:right w:val="none" w:sz="0" w:space="0" w:color="auto"/>
      </w:divBdr>
    </w:div>
    <w:div w:id="1667395420">
      <w:bodyDiv w:val="1"/>
      <w:marLeft w:val="0"/>
      <w:marRight w:val="0"/>
      <w:marTop w:val="0"/>
      <w:marBottom w:val="0"/>
      <w:divBdr>
        <w:top w:val="none" w:sz="0" w:space="0" w:color="auto"/>
        <w:left w:val="none" w:sz="0" w:space="0" w:color="auto"/>
        <w:bottom w:val="none" w:sz="0" w:space="0" w:color="auto"/>
        <w:right w:val="none" w:sz="0" w:space="0" w:color="auto"/>
      </w:divBdr>
    </w:div>
    <w:div w:id="1667631931">
      <w:bodyDiv w:val="1"/>
      <w:marLeft w:val="0"/>
      <w:marRight w:val="0"/>
      <w:marTop w:val="0"/>
      <w:marBottom w:val="0"/>
      <w:divBdr>
        <w:top w:val="none" w:sz="0" w:space="0" w:color="auto"/>
        <w:left w:val="none" w:sz="0" w:space="0" w:color="auto"/>
        <w:bottom w:val="none" w:sz="0" w:space="0" w:color="auto"/>
        <w:right w:val="none" w:sz="0" w:space="0" w:color="auto"/>
      </w:divBdr>
    </w:div>
    <w:div w:id="1667712168">
      <w:bodyDiv w:val="1"/>
      <w:marLeft w:val="0"/>
      <w:marRight w:val="0"/>
      <w:marTop w:val="0"/>
      <w:marBottom w:val="0"/>
      <w:divBdr>
        <w:top w:val="none" w:sz="0" w:space="0" w:color="auto"/>
        <w:left w:val="none" w:sz="0" w:space="0" w:color="auto"/>
        <w:bottom w:val="none" w:sz="0" w:space="0" w:color="auto"/>
        <w:right w:val="none" w:sz="0" w:space="0" w:color="auto"/>
      </w:divBdr>
    </w:div>
    <w:div w:id="1677996771">
      <w:bodyDiv w:val="1"/>
      <w:marLeft w:val="0"/>
      <w:marRight w:val="0"/>
      <w:marTop w:val="0"/>
      <w:marBottom w:val="0"/>
      <w:divBdr>
        <w:top w:val="none" w:sz="0" w:space="0" w:color="auto"/>
        <w:left w:val="none" w:sz="0" w:space="0" w:color="auto"/>
        <w:bottom w:val="none" w:sz="0" w:space="0" w:color="auto"/>
        <w:right w:val="none" w:sz="0" w:space="0" w:color="auto"/>
      </w:divBdr>
    </w:div>
    <w:div w:id="1682396397">
      <w:bodyDiv w:val="1"/>
      <w:marLeft w:val="0"/>
      <w:marRight w:val="0"/>
      <w:marTop w:val="0"/>
      <w:marBottom w:val="0"/>
      <w:divBdr>
        <w:top w:val="none" w:sz="0" w:space="0" w:color="auto"/>
        <w:left w:val="none" w:sz="0" w:space="0" w:color="auto"/>
        <w:bottom w:val="none" w:sz="0" w:space="0" w:color="auto"/>
        <w:right w:val="none" w:sz="0" w:space="0" w:color="auto"/>
      </w:divBdr>
    </w:div>
    <w:div w:id="1690791951">
      <w:bodyDiv w:val="1"/>
      <w:marLeft w:val="0"/>
      <w:marRight w:val="0"/>
      <w:marTop w:val="0"/>
      <w:marBottom w:val="0"/>
      <w:divBdr>
        <w:top w:val="none" w:sz="0" w:space="0" w:color="auto"/>
        <w:left w:val="none" w:sz="0" w:space="0" w:color="auto"/>
        <w:bottom w:val="none" w:sz="0" w:space="0" w:color="auto"/>
        <w:right w:val="none" w:sz="0" w:space="0" w:color="auto"/>
      </w:divBdr>
    </w:div>
    <w:div w:id="1691761523">
      <w:bodyDiv w:val="1"/>
      <w:marLeft w:val="0"/>
      <w:marRight w:val="0"/>
      <w:marTop w:val="0"/>
      <w:marBottom w:val="0"/>
      <w:divBdr>
        <w:top w:val="none" w:sz="0" w:space="0" w:color="auto"/>
        <w:left w:val="none" w:sz="0" w:space="0" w:color="auto"/>
        <w:bottom w:val="none" w:sz="0" w:space="0" w:color="auto"/>
        <w:right w:val="none" w:sz="0" w:space="0" w:color="auto"/>
      </w:divBdr>
    </w:div>
    <w:div w:id="1692146185">
      <w:bodyDiv w:val="1"/>
      <w:marLeft w:val="0"/>
      <w:marRight w:val="0"/>
      <w:marTop w:val="0"/>
      <w:marBottom w:val="0"/>
      <w:divBdr>
        <w:top w:val="none" w:sz="0" w:space="0" w:color="auto"/>
        <w:left w:val="none" w:sz="0" w:space="0" w:color="auto"/>
        <w:bottom w:val="none" w:sz="0" w:space="0" w:color="auto"/>
        <w:right w:val="none" w:sz="0" w:space="0" w:color="auto"/>
      </w:divBdr>
    </w:div>
    <w:div w:id="1693720146">
      <w:bodyDiv w:val="1"/>
      <w:marLeft w:val="0"/>
      <w:marRight w:val="0"/>
      <w:marTop w:val="0"/>
      <w:marBottom w:val="0"/>
      <w:divBdr>
        <w:top w:val="none" w:sz="0" w:space="0" w:color="auto"/>
        <w:left w:val="none" w:sz="0" w:space="0" w:color="auto"/>
        <w:bottom w:val="none" w:sz="0" w:space="0" w:color="auto"/>
        <w:right w:val="none" w:sz="0" w:space="0" w:color="auto"/>
      </w:divBdr>
    </w:div>
    <w:div w:id="1702394975">
      <w:bodyDiv w:val="1"/>
      <w:marLeft w:val="0"/>
      <w:marRight w:val="0"/>
      <w:marTop w:val="0"/>
      <w:marBottom w:val="0"/>
      <w:divBdr>
        <w:top w:val="none" w:sz="0" w:space="0" w:color="auto"/>
        <w:left w:val="none" w:sz="0" w:space="0" w:color="auto"/>
        <w:bottom w:val="none" w:sz="0" w:space="0" w:color="auto"/>
        <w:right w:val="none" w:sz="0" w:space="0" w:color="auto"/>
      </w:divBdr>
    </w:div>
    <w:div w:id="1704208832">
      <w:bodyDiv w:val="1"/>
      <w:marLeft w:val="0"/>
      <w:marRight w:val="0"/>
      <w:marTop w:val="0"/>
      <w:marBottom w:val="0"/>
      <w:divBdr>
        <w:top w:val="none" w:sz="0" w:space="0" w:color="auto"/>
        <w:left w:val="none" w:sz="0" w:space="0" w:color="auto"/>
        <w:bottom w:val="none" w:sz="0" w:space="0" w:color="auto"/>
        <w:right w:val="none" w:sz="0" w:space="0" w:color="auto"/>
      </w:divBdr>
    </w:div>
    <w:div w:id="1711300436">
      <w:bodyDiv w:val="1"/>
      <w:marLeft w:val="0"/>
      <w:marRight w:val="0"/>
      <w:marTop w:val="0"/>
      <w:marBottom w:val="0"/>
      <w:divBdr>
        <w:top w:val="none" w:sz="0" w:space="0" w:color="auto"/>
        <w:left w:val="none" w:sz="0" w:space="0" w:color="auto"/>
        <w:bottom w:val="none" w:sz="0" w:space="0" w:color="auto"/>
        <w:right w:val="none" w:sz="0" w:space="0" w:color="auto"/>
      </w:divBdr>
    </w:div>
    <w:div w:id="1713269472">
      <w:bodyDiv w:val="1"/>
      <w:marLeft w:val="0"/>
      <w:marRight w:val="0"/>
      <w:marTop w:val="0"/>
      <w:marBottom w:val="0"/>
      <w:divBdr>
        <w:top w:val="none" w:sz="0" w:space="0" w:color="auto"/>
        <w:left w:val="none" w:sz="0" w:space="0" w:color="auto"/>
        <w:bottom w:val="none" w:sz="0" w:space="0" w:color="auto"/>
        <w:right w:val="none" w:sz="0" w:space="0" w:color="auto"/>
      </w:divBdr>
    </w:div>
    <w:div w:id="1720084907">
      <w:bodyDiv w:val="1"/>
      <w:marLeft w:val="0"/>
      <w:marRight w:val="0"/>
      <w:marTop w:val="0"/>
      <w:marBottom w:val="0"/>
      <w:divBdr>
        <w:top w:val="none" w:sz="0" w:space="0" w:color="auto"/>
        <w:left w:val="none" w:sz="0" w:space="0" w:color="auto"/>
        <w:bottom w:val="none" w:sz="0" w:space="0" w:color="auto"/>
        <w:right w:val="none" w:sz="0" w:space="0" w:color="auto"/>
      </w:divBdr>
    </w:div>
    <w:div w:id="1720855647">
      <w:bodyDiv w:val="1"/>
      <w:marLeft w:val="0"/>
      <w:marRight w:val="0"/>
      <w:marTop w:val="0"/>
      <w:marBottom w:val="0"/>
      <w:divBdr>
        <w:top w:val="none" w:sz="0" w:space="0" w:color="auto"/>
        <w:left w:val="none" w:sz="0" w:space="0" w:color="auto"/>
        <w:bottom w:val="none" w:sz="0" w:space="0" w:color="auto"/>
        <w:right w:val="none" w:sz="0" w:space="0" w:color="auto"/>
      </w:divBdr>
    </w:div>
    <w:div w:id="1721132574">
      <w:bodyDiv w:val="1"/>
      <w:marLeft w:val="0"/>
      <w:marRight w:val="0"/>
      <w:marTop w:val="0"/>
      <w:marBottom w:val="0"/>
      <w:divBdr>
        <w:top w:val="none" w:sz="0" w:space="0" w:color="auto"/>
        <w:left w:val="none" w:sz="0" w:space="0" w:color="auto"/>
        <w:bottom w:val="none" w:sz="0" w:space="0" w:color="auto"/>
        <w:right w:val="none" w:sz="0" w:space="0" w:color="auto"/>
      </w:divBdr>
    </w:div>
    <w:div w:id="1723095482">
      <w:bodyDiv w:val="1"/>
      <w:marLeft w:val="0"/>
      <w:marRight w:val="0"/>
      <w:marTop w:val="0"/>
      <w:marBottom w:val="0"/>
      <w:divBdr>
        <w:top w:val="none" w:sz="0" w:space="0" w:color="auto"/>
        <w:left w:val="none" w:sz="0" w:space="0" w:color="auto"/>
        <w:bottom w:val="none" w:sz="0" w:space="0" w:color="auto"/>
        <w:right w:val="none" w:sz="0" w:space="0" w:color="auto"/>
      </w:divBdr>
    </w:div>
    <w:div w:id="1723095624">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27609720">
      <w:bodyDiv w:val="1"/>
      <w:marLeft w:val="0"/>
      <w:marRight w:val="0"/>
      <w:marTop w:val="0"/>
      <w:marBottom w:val="0"/>
      <w:divBdr>
        <w:top w:val="none" w:sz="0" w:space="0" w:color="auto"/>
        <w:left w:val="none" w:sz="0" w:space="0" w:color="auto"/>
        <w:bottom w:val="none" w:sz="0" w:space="0" w:color="auto"/>
        <w:right w:val="none" w:sz="0" w:space="0" w:color="auto"/>
      </w:divBdr>
    </w:div>
    <w:div w:id="1737703349">
      <w:bodyDiv w:val="1"/>
      <w:marLeft w:val="0"/>
      <w:marRight w:val="0"/>
      <w:marTop w:val="0"/>
      <w:marBottom w:val="0"/>
      <w:divBdr>
        <w:top w:val="none" w:sz="0" w:space="0" w:color="auto"/>
        <w:left w:val="none" w:sz="0" w:space="0" w:color="auto"/>
        <w:bottom w:val="none" w:sz="0" w:space="0" w:color="auto"/>
        <w:right w:val="none" w:sz="0" w:space="0" w:color="auto"/>
      </w:divBdr>
    </w:div>
    <w:div w:id="1745489204">
      <w:bodyDiv w:val="1"/>
      <w:marLeft w:val="0"/>
      <w:marRight w:val="0"/>
      <w:marTop w:val="0"/>
      <w:marBottom w:val="0"/>
      <w:divBdr>
        <w:top w:val="none" w:sz="0" w:space="0" w:color="auto"/>
        <w:left w:val="none" w:sz="0" w:space="0" w:color="auto"/>
        <w:bottom w:val="none" w:sz="0" w:space="0" w:color="auto"/>
        <w:right w:val="none" w:sz="0" w:space="0" w:color="auto"/>
      </w:divBdr>
    </w:div>
    <w:div w:id="1750734302">
      <w:bodyDiv w:val="1"/>
      <w:marLeft w:val="0"/>
      <w:marRight w:val="0"/>
      <w:marTop w:val="0"/>
      <w:marBottom w:val="0"/>
      <w:divBdr>
        <w:top w:val="none" w:sz="0" w:space="0" w:color="auto"/>
        <w:left w:val="none" w:sz="0" w:space="0" w:color="auto"/>
        <w:bottom w:val="none" w:sz="0" w:space="0" w:color="auto"/>
        <w:right w:val="none" w:sz="0" w:space="0" w:color="auto"/>
      </w:divBdr>
    </w:div>
    <w:div w:id="1782800532">
      <w:bodyDiv w:val="1"/>
      <w:marLeft w:val="0"/>
      <w:marRight w:val="0"/>
      <w:marTop w:val="0"/>
      <w:marBottom w:val="0"/>
      <w:divBdr>
        <w:top w:val="none" w:sz="0" w:space="0" w:color="auto"/>
        <w:left w:val="none" w:sz="0" w:space="0" w:color="auto"/>
        <w:bottom w:val="none" w:sz="0" w:space="0" w:color="auto"/>
        <w:right w:val="none" w:sz="0" w:space="0" w:color="auto"/>
      </w:divBdr>
    </w:div>
    <w:div w:id="1788423999">
      <w:bodyDiv w:val="1"/>
      <w:marLeft w:val="0"/>
      <w:marRight w:val="0"/>
      <w:marTop w:val="0"/>
      <w:marBottom w:val="0"/>
      <w:divBdr>
        <w:top w:val="none" w:sz="0" w:space="0" w:color="auto"/>
        <w:left w:val="none" w:sz="0" w:space="0" w:color="auto"/>
        <w:bottom w:val="none" w:sz="0" w:space="0" w:color="auto"/>
        <w:right w:val="none" w:sz="0" w:space="0" w:color="auto"/>
      </w:divBdr>
    </w:div>
    <w:div w:id="1792242146">
      <w:bodyDiv w:val="1"/>
      <w:marLeft w:val="0"/>
      <w:marRight w:val="0"/>
      <w:marTop w:val="0"/>
      <w:marBottom w:val="0"/>
      <w:divBdr>
        <w:top w:val="none" w:sz="0" w:space="0" w:color="auto"/>
        <w:left w:val="none" w:sz="0" w:space="0" w:color="auto"/>
        <w:bottom w:val="none" w:sz="0" w:space="0" w:color="auto"/>
        <w:right w:val="none" w:sz="0" w:space="0" w:color="auto"/>
      </w:divBdr>
    </w:div>
    <w:div w:id="1794595129">
      <w:bodyDiv w:val="1"/>
      <w:marLeft w:val="0"/>
      <w:marRight w:val="0"/>
      <w:marTop w:val="0"/>
      <w:marBottom w:val="0"/>
      <w:divBdr>
        <w:top w:val="none" w:sz="0" w:space="0" w:color="auto"/>
        <w:left w:val="none" w:sz="0" w:space="0" w:color="auto"/>
        <w:bottom w:val="none" w:sz="0" w:space="0" w:color="auto"/>
        <w:right w:val="none" w:sz="0" w:space="0" w:color="auto"/>
      </w:divBdr>
    </w:div>
    <w:div w:id="1796949440">
      <w:bodyDiv w:val="1"/>
      <w:marLeft w:val="0"/>
      <w:marRight w:val="0"/>
      <w:marTop w:val="0"/>
      <w:marBottom w:val="0"/>
      <w:divBdr>
        <w:top w:val="none" w:sz="0" w:space="0" w:color="auto"/>
        <w:left w:val="none" w:sz="0" w:space="0" w:color="auto"/>
        <w:bottom w:val="none" w:sz="0" w:space="0" w:color="auto"/>
        <w:right w:val="none" w:sz="0" w:space="0" w:color="auto"/>
      </w:divBdr>
    </w:div>
    <w:div w:id="1799031297">
      <w:bodyDiv w:val="1"/>
      <w:marLeft w:val="0"/>
      <w:marRight w:val="0"/>
      <w:marTop w:val="0"/>
      <w:marBottom w:val="0"/>
      <w:divBdr>
        <w:top w:val="none" w:sz="0" w:space="0" w:color="auto"/>
        <w:left w:val="none" w:sz="0" w:space="0" w:color="auto"/>
        <w:bottom w:val="none" w:sz="0" w:space="0" w:color="auto"/>
        <w:right w:val="none" w:sz="0" w:space="0" w:color="auto"/>
      </w:divBdr>
    </w:div>
    <w:div w:id="1800418027">
      <w:bodyDiv w:val="1"/>
      <w:marLeft w:val="0"/>
      <w:marRight w:val="0"/>
      <w:marTop w:val="0"/>
      <w:marBottom w:val="0"/>
      <w:divBdr>
        <w:top w:val="none" w:sz="0" w:space="0" w:color="auto"/>
        <w:left w:val="none" w:sz="0" w:space="0" w:color="auto"/>
        <w:bottom w:val="none" w:sz="0" w:space="0" w:color="auto"/>
        <w:right w:val="none" w:sz="0" w:space="0" w:color="auto"/>
      </w:divBdr>
    </w:div>
    <w:div w:id="1807310230">
      <w:bodyDiv w:val="1"/>
      <w:marLeft w:val="0"/>
      <w:marRight w:val="0"/>
      <w:marTop w:val="0"/>
      <w:marBottom w:val="0"/>
      <w:divBdr>
        <w:top w:val="none" w:sz="0" w:space="0" w:color="auto"/>
        <w:left w:val="none" w:sz="0" w:space="0" w:color="auto"/>
        <w:bottom w:val="none" w:sz="0" w:space="0" w:color="auto"/>
        <w:right w:val="none" w:sz="0" w:space="0" w:color="auto"/>
      </w:divBdr>
    </w:div>
    <w:div w:id="1809207299">
      <w:bodyDiv w:val="1"/>
      <w:marLeft w:val="0"/>
      <w:marRight w:val="0"/>
      <w:marTop w:val="0"/>
      <w:marBottom w:val="0"/>
      <w:divBdr>
        <w:top w:val="none" w:sz="0" w:space="0" w:color="auto"/>
        <w:left w:val="none" w:sz="0" w:space="0" w:color="auto"/>
        <w:bottom w:val="none" w:sz="0" w:space="0" w:color="auto"/>
        <w:right w:val="none" w:sz="0" w:space="0" w:color="auto"/>
      </w:divBdr>
    </w:div>
    <w:div w:id="1811896255">
      <w:bodyDiv w:val="1"/>
      <w:marLeft w:val="0"/>
      <w:marRight w:val="0"/>
      <w:marTop w:val="0"/>
      <w:marBottom w:val="0"/>
      <w:divBdr>
        <w:top w:val="none" w:sz="0" w:space="0" w:color="auto"/>
        <w:left w:val="none" w:sz="0" w:space="0" w:color="auto"/>
        <w:bottom w:val="none" w:sz="0" w:space="0" w:color="auto"/>
        <w:right w:val="none" w:sz="0" w:space="0" w:color="auto"/>
      </w:divBdr>
    </w:div>
    <w:div w:id="1818103833">
      <w:bodyDiv w:val="1"/>
      <w:marLeft w:val="0"/>
      <w:marRight w:val="0"/>
      <w:marTop w:val="0"/>
      <w:marBottom w:val="0"/>
      <w:divBdr>
        <w:top w:val="none" w:sz="0" w:space="0" w:color="auto"/>
        <w:left w:val="none" w:sz="0" w:space="0" w:color="auto"/>
        <w:bottom w:val="none" w:sz="0" w:space="0" w:color="auto"/>
        <w:right w:val="none" w:sz="0" w:space="0" w:color="auto"/>
      </w:divBdr>
    </w:div>
    <w:div w:id="1819957482">
      <w:bodyDiv w:val="1"/>
      <w:marLeft w:val="0"/>
      <w:marRight w:val="0"/>
      <w:marTop w:val="0"/>
      <w:marBottom w:val="0"/>
      <w:divBdr>
        <w:top w:val="none" w:sz="0" w:space="0" w:color="auto"/>
        <w:left w:val="none" w:sz="0" w:space="0" w:color="auto"/>
        <w:bottom w:val="none" w:sz="0" w:space="0" w:color="auto"/>
        <w:right w:val="none" w:sz="0" w:space="0" w:color="auto"/>
      </w:divBdr>
    </w:div>
    <w:div w:id="1822113680">
      <w:bodyDiv w:val="1"/>
      <w:marLeft w:val="0"/>
      <w:marRight w:val="0"/>
      <w:marTop w:val="0"/>
      <w:marBottom w:val="0"/>
      <w:divBdr>
        <w:top w:val="none" w:sz="0" w:space="0" w:color="auto"/>
        <w:left w:val="none" w:sz="0" w:space="0" w:color="auto"/>
        <w:bottom w:val="none" w:sz="0" w:space="0" w:color="auto"/>
        <w:right w:val="none" w:sz="0" w:space="0" w:color="auto"/>
      </w:divBdr>
    </w:div>
    <w:div w:id="1825009359">
      <w:bodyDiv w:val="1"/>
      <w:marLeft w:val="0"/>
      <w:marRight w:val="0"/>
      <w:marTop w:val="0"/>
      <w:marBottom w:val="0"/>
      <w:divBdr>
        <w:top w:val="none" w:sz="0" w:space="0" w:color="auto"/>
        <w:left w:val="none" w:sz="0" w:space="0" w:color="auto"/>
        <w:bottom w:val="none" w:sz="0" w:space="0" w:color="auto"/>
        <w:right w:val="none" w:sz="0" w:space="0" w:color="auto"/>
      </w:divBdr>
    </w:div>
    <w:div w:id="1832212837">
      <w:bodyDiv w:val="1"/>
      <w:marLeft w:val="0"/>
      <w:marRight w:val="0"/>
      <w:marTop w:val="0"/>
      <w:marBottom w:val="0"/>
      <w:divBdr>
        <w:top w:val="none" w:sz="0" w:space="0" w:color="auto"/>
        <w:left w:val="none" w:sz="0" w:space="0" w:color="auto"/>
        <w:bottom w:val="none" w:sz="0" w:space="0" w:color="auto"/>
        <w:right w:val="none" w:sz="0" w:space="0" w:color="auto"/>
      </w:divBdr>
    </w:div>
    <w:div w:id="1841500203">
      <w:bodyDiv w:val="1"/>
      <w:marLeft w:val="0"/>
      <w:marRight w:val="0"/>
      <w:marTop w:val="0"/>
      <w:marBottom w:val="0"/>
      <w:divBdr>
        <w:top w:val="none" w:sz="0" w:space="0" w:color="auto"/>
        <w:left w:val="none" w:sz="0" w:space="0" w:color="auto"/>
        <w:bottom w:val="none" w:sz="0" w:space="0" w:color="auto"/>
        <w:right w:val="none" w:sz="0" w:space="0" w:color="auto"/>
      </w:divBdr>
    </w:div>
    <w:div w:id="1841967287">
      <w:bodyDiv w:val="1"/>
      <w:marLeft w:val="0"/>
      <w:marRight w:val="0"/>
      <w:marTop w:val="0"/>
      <w:marBottom w:val="0"/>
      <w:divBdr>
        <w:top w:val="none" w:sz="0" w:space="0" w:color="auto"/>
        <w:left w:val="none" w:sz="0" w:space="0" w:color="auto"/>
        <w:bottom w:val="none" w:sz="0" w:space="0" w:color="auto"/>
        <w:right w:val="none" w:sz="0" w:space="0" w:color="auto"/>
      </w:divBdr>
    </w:div>
    <w:div w:id="1844933463">
      <w:bodyDiv w:val="1"/>
      <w:marLeft w:val="0"/>
      <w:marRight w:val="0"/>
      <w:marTop w:val="0"/>
      <w:marBottom w:val="0"/>
      <w:divBdr>
        <w:top w:val="none" w:sz="0" w:space="0" w:color="auto"/>
        <w:left w:val="none" w:sz="0" w:space="0" w:color="auto"/>
        <w:bottom w:val="none" w:sz="0" w:space="0" w:color="auto"/>
        <w:right w:val="none" w:sz="0" w:space="0" w:color="auto"/>
      </w:divBdr>
    </w:div>
    <w:div w:id="1855654552">
      <w:bodyDiv w:val="1"/>
      <w:marLeft w:val="0"/>
      <w:marRight w:val="0"/>
      <w:marTop w:val="0"/>
      <w:marBottom w:val="0"/>
      <w:divBdr>
        <w:top w:val="none" w:sz="0" w:space="0" w:color="auto"/>
        <w:left w:val="none" w:sz="0" w:space="0" w:color="auto"/>
        <w:bottom w:val="none" w:sz="0" w:space="0" w:color="auto"/>
        <w:right w:val="none" w:sz="0" w:space="0" w:color="auto"/>
      </w:divBdr>
    </w:div>
    <w:div w:id="1864393837">
      <w:bodyDiv w:val="1"/>
      <w:marLeft w:val="0"/>
      <w:marRight w:val="0"/>
      <w:marTop w:val="0"/>
      <w:marBottom w:val="0"/>
      <w:divBdr>
        <w:top w:val="none" w:sz="0" w:space="0" w:color="auto"/>
        <w:left w:val="none" w:sz="0" w:space="0" w:color="auto"/>
        <w:bottom w:val="none" w:sz="0" w:space="0" w:color="auto"/>
        <w:right w:val="none" w:sz="0" w:space="0" w:color="auto"/>
      </w:divBdr>
    </w:div>
    <w:div w:id="1865553476">
      <w:bodyDiv w:val="1"/>
      <w:marLeft w:val="0"/>
      <w:marRight w:val="0"/>
      <w:marTop w:val="0"/>
      <w:marBottom w:val="0"/>
      <w:divBdr>
        <w:top w:val="none" w:sz="0" w:space="0" w:color="auto"/>
        <w:left w:val="none" w:sz="0" w:space="0" w:color="auto"/>
        <w:bottom w:val="none" w:sz="0" w:space="0" w:color="auto"/>
        <w:right w:val="none" w:sz="0" w:space="0" w:color="auto"/>
      </w:divBdr>
    </w:div>
    <w:div w:id="1868448657">
      <w:bodyDiv w:val="1"/>
      <w:marLeft w:val="0"/>
      <w:marRight w:val="0"/>
      <w:marTop w:val="0"/>
      <w:marBottom w:val="0"/>
      <w:divBdr>
        <w:top w:val="none" w:sz="0" w:space="0" w:color="auto"/>
        <w:left w:val="none" w:sz="0" w:space="0" w:color="auto"/>
        <w:bottom w:val="none" w:sz="0" w:space="0" w:color="auto"/>
        <w:right w:val="none" w:sz="0" w:space="0" w:color="auto"/>
      </w:divBdr>
    </w:div>
    <w:div w:id="1871529623">
      <w:bodyDiv w:val="1"/>
      <w:marLeft w:val="0"/>
      <w:marRight w:val="0"/>
      <w:marTop w:val="0"/>
      <w:marBottom w:val="0"/>
      <w:divBdr>
        <w:top w:val="none" w:sz="0" w:space="0" w:color="auto"/>
        <w:left w:val="none" w:sz="0" w:space="0" w:color="auto"/>
        <w:bottom w:val="none" w:sz="0" w:space="0" w:color="auto"/>
        <w:right w:val="none" w:sz="0" w:space="0" w:color="auto"/>
      </w:divBdr>
    </w:div>
    <w:div w:id="1871911062">
      <w:bodyDiv w:val="1"/>
      <w:marLeft w:val="0"/>
      <w:marRight w:val="0"/>
      <w:marTop w:val="0"/>
      <w:marBottom w:val="0"/>
      <w:divBdr>
        <w:top w:val="none" w:sz="0" w:space="0" w:color="auto"/>
        <w:left w:val="none" w:sz="0" w:space="0" w:color="auto"/>
        <w:bottom w:val="none" w:sz="0" w:space="0" w:color="auto"/>
        <w:right w:val="none" w:sz="0" w:space="0" w:color="auto"/>
      </w:divBdr>
    </w:div>
    <w:div w:id="1872183250">
      <w:bodyDiv w:val="1"/>
      <w:marLeft w:val="0"/>
      <w:marRight w:val="0"/>
      <w:marTop w:val="0"/>
      <w:marBottom w:val="0"/>
      <w:divBdr>
        <w:top w:val="none" w:sz="0" w:space="0" w:color="auto"/>
        <w:left w:val="none" w:sz="0" w:space="0" w:color="auto"/>
        <w:bottom w:val="none" w:sz="0" w:space="0" w:color="auto"/>
        <w:right w:val="none" w:sz="0" w:space="0" w:color="auto"/>
      </w:divBdr>
    </w:div>
    <w:div w:id="1876503395">
      <w:bodyDiv w:val="1"/>
      <w:marLeft w:val="0"/>
      <w:marRight w:val="0"/>
      <w:marTop w:val="0"/>
      <w:marBottom w:val="0"/>
      <w:divBdr>
        <w:top w:val="none" w:sz="0" w:space="0" w:color="auto"/>
        <w:left w:val="none" w:sz="0" w:space="0" w:color="auto"/>
        <w:bottom w:val="none" w:sz="0" w:space="0" w:color="auto"/>
        <w:right w:val="none" w:sz="0" w:space="0" w:color="auto"/>
      </w:divBdr>
    </w:div>
    <w:div w:id="1877892617">
      <w:bodyDiv w:val="1"/>
      <w:marLeft w:val="0"/>
      <w:marRight w:val="0"/>
      <w:marTop w:val="0"/>
      <w:marBottom w:val="0"/>
      <w:divBdr>
        <w:top w:val="none" w:sz="0" w:space="0" w:color="auto"/>
        <w:left w:val="none" w:sz="0" w:space="0" w:color="auto"/>
        <w:bottom w:val="none" w:sz="0" w:space="0" w:color="auto"/>
        <w:right w:val="none" w:sz="0" w:space="0" w:color="auto"/>
      </w:divBdr>
    </w:div>
    <w:div w:id="1880580052">
      <w:bodyDiv w:val="1"/>
      <w:marLeft w:val="0"/>
      <w:marRight w:val="0"/>
      <w:marTop w:val="0"/>
      <w:marBottom w:val="0"/>
      <w:divBdr>
        <w:top w:val="none" w:sz="0" w:space="0" w:color="auto"/>
        <w:left w:val="none" w:sz="0" w:space="0" w:color="auto"/>
        <w:bottom w:val="none" w:sz="0" w:space="0" w:color="auto"/>
        <w:right w:val="none" w:sz="0" w:space="0" w:color="auto"/>
      </w:divBdr>
    </w:div>
    <w:div w:id="1889141009">
      <w:bodyDiv w:val="1"/>
      <w:marLeft w:val="0"/>
      <w:marRight w:val="0"/>
      <w:marTop w:val="0"/>
      <w:marBottom w:val="0"/>
      <w:divBdr>
        <w:top w:val="none" w:sz="0" w:space="0" w:color="auto"/>
        <w:left w:val="none" w:sz="0" w:space="0" w:color="auto"/>
        <w:bottom w:val="none" w:sz="0" w:space="0" w:color="auto"/>
        <w:right w:val="none" w:sz="0" w:space="0" w:color="auto"/>
      </w:divBdr>
    </w:div>
    <w:div w:id="1895460778">
      <w:bodyDiv w:val="1"/>
      <w:marLeft w:val="0"/>
      <w:marRight w:val="0"/>
      <w:marTop w:val="0"/>
      <w:marBottom w:val="0"/>
      <w:divBdr>
        <w:top w:val="none" w:sz="0" w:space="0" w:color="auto"/>
        <w:left w:val="none" w:sz="0" w:space="0" w:color="auto"/>
        <w:bottom w:val="none" w:sz="0" w:space="0" w:color="auto"/>
        <w:right w:val="none" w:sz="0" w:space="0" w:color="auto"/>
      </w:divBdr>
    </w:div>
    <w:div w:id="1897203968">
      <w:bodyDiv w:val="1"/>
      <w:marLeft w:val="0"/>
      <w:marRight w:val="0"/>
      <w:marTop w:val="0"/>
      <w:marBottom w:val="0"/>
      <w:divBdr>
        <w:top w:val="none" w:sz="0" w:space="0" w:color="auto"/>
        <w:left w:val="none" w:sz="0" w:space="0" w:color="auto"/>
        <w:bottom w:val="none" w:sz="0" w:space="0" w:color="auto"/>
        <w:right w:val="none" w:sz="0" w:space="0" w:color="auto"/>
      </w:divBdr>
    </w:div>
    <w:div w:id="1897621692">
      <w:bodyDiv w:val="1"/>
      <w:marLeft w:val="0"/>
      <w:marRight w:val="0"/>
      <w:marTop w:val="0"/>
      <w:marBottom w:val="0"/>
      <w:divBdr>
        <w:top w:val="none" w:sz="0" w:space="0" w:color="auto"/>
        <w:left w:val="none" w:sz="0" w:space="0" w:color="auto"/>
        <w:bottom w:val="none" w:sz="0" w:space="0" w:color="auto"/>
        <w:right w:val="none" w:sz="0" w:space="0" w:color="auto"/>
      </w:divBdr>
    </w:div>
    <w:div w:id="1899705415">
      <w:bodyDiv w:val="1"/>
      <w:marLeft w:val="0"/>
      <w:marRight w:val="0"/>
      <w:marTop w:val="0"/>
      <w:marBottom w:val="0"/>
      <w:divBdr>
        <w:top w:val="none" w:sz="0" w:space="0" w:color="auto"/>
        <w:left w:val="none" w:sz="0" w:space="0" w:color="auto"/>
        <w:bottom w:val="none" w:sz="0" w:space="0" w:color="auto"/>
        <w:right w:val="none" w:sz="0" w:space="0" w:color="auto"/>
      </w:divBdr>
    </w:div>
    <w:div w:id="1913924992">
      <w:bodyDiv w:val="1"/>
      <w:marLeft w:val="0"/>
      <w:marRight w:val="0"/>
      <w:marTop w:val="0"/>
      <w:marBottom w:val="0"/>
      <w:divBdr>
        <w:top w:val="none" w:sz="0" w:space="0" w:color="auto"/>
        <w:left w:val="none" w:sz="0" w:space="0" w:color="auto"/>
        <w:bottom w:val="none" w:sz="0" w:space="0" w:color="auto"/>
        <w:right w:val="none" w:sz="0" w:space="0" w:color="auto"/>
      </w:divBdr>
    </w:div>
    <w:div w:id="1920746225">
      <w:bodyDiv w:val="1"/>
      <w:marLeft w:val="0"/>
      <w:marRight w:val="0"/>
      <w:marTop w:val="0"/>
      <w:marBottom w:val="0"/>
      <w:divBdr>
        <w:top w:val="none" w:sz="0" w:space="0" w:color="auto"/>
        <w:left w:val="none" w:sz="0" w:space="0" w:color="auto"/>
        <w:bottom w:val="none" w:sz="0" w:space="0" w:color="auto"/>
        <w:right w:val="none" w:sz="0" w:space="0" w:color="auto"/>
      </w:divBdr>
    </w:div>
    <w:div w:id="1940680808">
      <w:bodyDiv w:val="1"/>
      <w:marLeft w:val="0"/>
      <w:marRight w:val="0"/>
      <w:marTop w:val="0"/>
      <w:marBottom w:val="0"/>
      <w:divBdr>
        <w:top w:val="none" w:sz="0" w:space="0" w:color="auto"/>
        <w:left w:val="none" w:sz="0" w:space="0" w:color="auto"/>
        <w:bottom w:val="none" w:sz="0" w:space="0" w:color="auto"/>
        <w:right w:val="none" w:sz="0" w:space="0" w:color="auto"/>
      </w:divBdr>
    </w:div>
    <w:div w:id="1949703278">
      <w:bodyDiv w:val="1"/>
      <w:marLeft w:val="0"/>
      <w:marRight w:val="0"/>
      <w:marTop w:val="0"/>
      <w:marBottom w:val="0"/>
      <w:divBdr>
        <w:top w:val="none" w:sz="0" w:space="0" w:color="auto"/>
        <w:left w:val="none" w:sz="0" w:space="0" w:color="auto"/>
        <w:bottom w:val="none" w:sz="0" w:space="0" w:color="auto"/>
        <w:right w:val="none" w:sz="0" w:space="0" w:color="auto"/>
      </w:divBdr>
    </w:div>
    <w:div w:id="1951740057">
      <w:bodyDiv w:val="1"/>
      <w:marLeft w:val="0"/>
      <w:marRight w:val="0"/>
      <w:marTop w:val="0"/>
      <w:marBottom w:val="0"/>
      <w:divBdr>
        <w:top w:val="none" w:sz="0" w:space="0" w:color="auto"/>
        <w:left w:val="none" w:sz="0" w:space="0" w:color="auto"/>
        <w:bottom w:val="none" w:sz="0" w:space="0" w:color="auto"/>
        <w:right w:val="none" w:sz="0" w:space="0" w:color="auto"/>
      </w:divBdr>
    </w:div>
    <w:div w:id="1952590299">
      <w:bodyDiv w:val="1"/>
      <w:marLeft w:val="0"/>
      <w:marRight w:val="0"/>
      <w:marTop w:val="0"/>
      <w:marBottom w:val="0"/>
      <w:divBdr>
        <w:top w:val="none" w:sz="0" w:space="0" w:color="auto"/>
        <w:left w:val="none" w:sz="0" w:space="0" w:color="auto"/>
        <w:bottom w:val="none" w:sz="0" w:space="0" w:color="auto"/>
        <w:right w:val="none" w:sz="0" w:space="0" w:color="auto"/>
      </w:divBdr>
    </w:div>
    <w:div w:id="1954509428">
      <w:bodyDiv w:val="1"/>
      <w:marLeft w:val="0"/>
      <w:marRight w:val="0"/>
      <w:marTop w:val="0"/>
      <w:marBottom w:val="0"/>
      <w:divBdr>
        <w:top w:val="none" w:sz="0" w:space="0" w:color="auto"/>
        <w:left w:val="none" w:sz="0" w:space="0" w:color="auto"/>
        <w:bottom w:val="none" w:sz="0" w:space="0" w:color="auto"/>
        <w:right w:val="none" w:sz="0" w:space="0" w:color="auto"/>
      </w:divBdr>
    </w:div>
    <w:div w:id="1958220210">
      <w:bodyDiv w:val="1"/>
      <w:marLeft w:val="0"/>
      <w:marRight w:val="0"/>
      <w:marTop w:val="0"/>
      <w:marBottom w:val="0"/>
      <w:divBdr>
        <w:top w:val="none" w:sz="0" w:space="0" w:color="auto"/>
        <w:left w:val="none" w:sz="0" w:space="0" w:color="auto"/>
        <w:bottom w:val="none" w:sz="0" w:space="0" w:color="auto"/>
        <w:right w:val="none" w:sz="0" w:space="0" w:color="auto"/>
      </w:divBdr>
    </w:div>
    <w:div w:id="1962498262">
      <w:bodyDiv w:val="1"/>
      <w:marLeft w:val="0"/>
      <w:marRight w:val="0"/>
      <w:marTop w:val="0"/>
      <w:marBottom w:val="0"/>
      <w:divBdr>
        <w:top w:val="none" w:sz="0" w:space="0" w:color="auto"/>
        <w:left w:val="none" w:sz="0" w:space="0" w:color="auto"/>
        <w:bottom w:val="none" w:sz="0" w:space="0" w:color="auto"/>
        <w:right w:val="none" w:sz="0" w:space="0" w:color="auto"/>
      </w:divBdr>
    </w:div>
    <w:div w:id="1965504250">
      <w:bodyDiv w:val="1"/>
      <w:marLeft w:val="0"/>
      <w:marRight w:val="0"/>
      <w:marTop w:val="0"/>
      <w:marBottom w:val="0"/>
      <w:divBdr>
        <w:top w:val="none" w:sz="0" w:space="0" w:color="auto"/>
        <w:left w:val="none" w:sz="0" w:space="0" w:color="auto"/>
        <w:bottom w:val="none" w:sz="0" w:space="0" w:color="auto"/>
        <w:right w:val="none" w:sz="0" w:space="0" w:color="auto"/>
      </w:divBdr>
    </w:div>
    <w:div w:id="1965962914">
      <w:bodyDiv w:val="1"/>
      <w:marLeft w:val="0"/>
      <w:marRight w:val="0"/>
      <w:marTop w:val="0"/>
      <w:marBottom w:val="0"/>
      <w:divBdr>
        <w:top w:val="none" w:sz="0" w:space="0" w:color="auto"/>
        <w:left w:val="none" w:sz="0" w:space="0" w:color="auto"/>
        <w:bottom w:val="none" w:sz="0" w:space="0" w:color="auto"/>
        <w:right w:val="none" w:sz="0" w:space="0" w:color="auto"/>
      </w:divBdr>
    </w:div>
    <w:div w:id="1971014177">
      <w:bodyDiv w:val="1"/>
      <w:marLeft w:val="0"/>
      <w:marRight w:val="0"/>
      <w:marTop w:val="0"/>
      <w:marBottom w:val="0"/>
      <w:divBdr>
        <w:top w:val="none" w:sz="0" w:space="0" w:color="auto"/>
        <w:left w:val="none" w:sz="0" w:space="0" w:color="auto"/>
        <w:bottom w:val="none" w:sz="0" w:space="0" w:color="auto"/>
        <w:right w:val="none" w:sz="0" w:space="0" w:color="auto"/>
      </w:divBdr>
    </w:div>
    <w:div w:id="1977222619">
      <w:bodyDiv w:val="1"/>
      <w:marLeft w:val="0"/>
      <w:marRight w:val="0"/>
      <w:marTop w:val="0"/>
      <w:marBottom w:val="0"/>
      <w:divBdr>
        <w:top w:val="none" w:sz="0" w:space="0" w:color="auto"/>
        <w:left w:val="none" w:sz="0" w:space="0" w:color="auto"/>
        <w:bottom w:val="none" w:sz="0" w:space="0" w:color="auto"/>
        <w:right w:val="none" w:sz="0" w:space="0" w:color="auto"/>
      </w:divBdr>
    </w:div>
    <w:div w:id="1977831430">
      <w:bodyDiv w:val="1"/>
      <w:marLeft w:val="0"/>
      <w:marRight w:val="0"/>
      <w:marTop w:val="0"/>
      <w:marBottom w:val="0"/>
      <w:divBdr>
        <w:top w:val="none" w:sz="0" w:space="0" w:color="auto"/>
        <w:left w:val="none" w:sz="0" w:space="0" w:color="auto"/>
        <w:bottom w:val="none" w:sz="0" w:space="0" w:color="auto"/>
        <w:right w:val="none" w:sz="0" w:space="0" w:color="auto"/>
      </w:divBdr>
    </w:div>
    <w:div w:id="1985546285">
      <w:bodyDiv w:val="1"/>
      <w:marLeft w:val="0"/>
      <w:marRight w:val="0"/>
      <w:marTop w:val="0"/>
      <w:marBottom w:val="0"/>
      <w:divBdr>
        <w:top w:val="none" w:sz="0" w:space="0" w:color="auto"/>
        <w:left w:val="none" w:sz="0" w:space="0" w:color="auto"/>
        <w:bottom w:val="none" w:sz="0" w:space="0" w:color="auto"/>
        <w:right w:val="none" w:sz="0" w:space="0" w:color="auto"/>
      </w:divBdr>
    </w:div>
    <w:div w:id="1988779725">
      <w:bodyDiv w:val="1"/>
      <w:marLeft w:val="0"/>
      <w:marRight w:val="0"/>
      <w:marTop w:val="0"/>
      <w:marBottom w:val="0"/>
      <w:divBdr>
        <w:top w:val="none" w:sz="0" w:space="0" w:color="auto"/>
        <w:left w:val="none" w:sz="0" w:space="0" w:color="auto"/>
        <w:bottom w:val="none" w:sz="0" w:space="0" w:color="auto"/>
        <w:right w:val="none" w:sz="0" w:space="0" w:color="auto"/>
      </w:divBdr>
    </w:div>
    <w:div w:id="1992174758">
      <w:bodyDiv w:val="1"/>
      <w:marLeft w:val="0"/>
      <w:marRight w:val="0"/>
      <w:marTop w:val="0"/>
      <w:marBottom w:val="0"/>
      <w:divBdr>
        <w:top w:val="none" w:sz="0" w:space="0" w:color="auto"/>
        <w:left w:val="none" w:sz="0" w:space="0" w:color="auto"/>
        <w:bottom w:val="none" w:sz="0" w:space="0" w:color="auto"/>
        <w:right w:val="none" w:sz="0" w:space="0" w:color="auto"/>
      </w:divBdr>
    </w:div>
    <w:div w:id="1993941393">
      <w:bodyDiv w:val="1"/>
      <w:marLeft w:val="0"/>
      <w:marRight w:val="0"/>
      <w:marTop w:val="0"/>
      <w:marBottom w:val="0"/>
      <w:divBdr>
        <w:top w:val="none" w:sz="0" w:space="0" w:color="auto"/>
        <w:left w:val="none" w:sz="0" w:space="0" w:color="auto"/>
        <w:bottom w:val="none" w:sz="0" w:space="0" w:color="auto"/>
        <w:right w:val="none" w:sz="0" w:space="0" w:color="auto"/>
      </w:divBdr>
    </w:div>
    <w:div w:id="1997757095">
      <w:bodyDiv w:val="1"/>
      <w:marLeft w:val="0"/>
      <w:marRight w:val="0"/>
      <w:marTop w:val="0"/>
      <w:marBottom w:val="0"/>
      <w:divBdr>
        <w:top w:val="none" w:sz="0" w:space="0" w:color="auto"/>
        <w:left w:val="none" w:sz="0" w:space="0" w:color="auto"/>
        <w:bottom w:val="none" w:sz="0" w:space="0" w:color="auto"/>
        <w:right w:val="none" w:sz="0" w:space="0" w:color="auto"/>
      </w:divBdr>
    </w:div>
    <w:div w:id="1999117065">
      <w:bodyDiv w:val="1"/>
      <w:marLeft w:val="0"/>
      <w:marRight w:val="0"/>
      <w:marTop w:val="0"/>
      <w:marBottom w:val="0"/>
      <w:divBdr>
        <w:top w:val="none" w:sz="0" w:space="0" w:color="auto"/>
        <w:left w:val="none" w:sz="0" w:space="0" w:color="auto"/>
        <w:bottom w:val="none" w:sz="0" w:space="0" w:color="auto"/>
        <w:right w:val="none" w:sz="0" w:space="0" w:color="auto"/>
      </w:divBdr>
    </w:div>
    <w:div w:id="2002654143">
      <w:bodyDiv w:val="1"/>
      <w:marLeft w:val="0"/>
      <w:marRight w:val="0"/>
      <w:marTop w:val="0"/>
      <w:marBottom w:val="0"/>
      <w:divBdr>
        <w:top w:val="none" w:sz="0" w:space="0" w:color="auto"/>
        <w:left w:val="none" w:sz="0" w:space="0" w:color="auto"/>
        <w:bottom w:val="none" w:sz="0" w:space="0" w:color="auto"/>
        <w:right w:val="none" w:sz="0" w:space="0" w:color="auto"/>
      </w:divBdr>
    </w:div>
    <w:div w:id="2009596361">
      <w:bodyDiv w:val="1"/>
      <w:marLeft w:val="0"/>
      <w:marRight w:val="0"/>
      <w:marTop w:val="0"/>
      <w:marBottom w:val="0"/>
      <w:divBdr>
        <w:top w:val="none" w:sz="0" w:space="0" w:color="auto"/>
        <w:left w:val="none" w:sz="0" w:space="0" w:color="auto"/>
        <w:bottom w:val="none" w:sz="0" w:space="0" w:color="auto"/>
        <w:right w:val="none" w:sz="0" w:space="0" w:color="auto"/>
      </w:divBdr>
    </w:div>
    <w:div w:id="2015107213">
      <w:bodyDiv w:val="1"/>
      <w:marLeft w:val="0"/>
      <w:marRight w:val="0"/>
      <w:marTop w:val="0"/>
      <w:marBottom w:val="0"/>
      <w:divBdr>
        <w:top w:val="none" w:sz="0" w:space="0" w:color="auto"/>
        <w:left w:val="none" w:sz="0" w:space="0" w:color="auto"/>
        <w:bottom w:val="none" w:sz="0" w:space="0" w:color="auto"/>
        <w:right w:val="none" w:sz="0" w:space="0" w:color="auto"/>
      </w:divBdr>
    </w:div>
    <w:div w:id="2016228102">
      <w:bodyDiv w:val="1"/>
      <w:marLeft w:val="0"/>
      <w:marRight w:val="0"/>
      <w:marTop w:val="0"/>
      <w:marBottom w:val="0"/>
      <w:divBdr>
        <w:top w:val="none" w:sz="0" w:space="0" w:color="auto"/>
        <w:left w:val="none" w:sz="0" w:space="0" w:color="auto"/>
        <w:bottom w:val="none" w:sz="0" w:space="0" w:color="auto"/>
        <w:right w:val="none" w:sz="0" w:space="0" w:color="auto"/>
      </w:divBdr>
    </w:div>
    <w:div w:id="2021620993">
      <w:bodyDiv w:val="1"/>
      <w:marLeft w:val="0"/>
      <w:marRight w:val="0"/>
      <w:marTop w:val="0"/>
      <w:marBottom w:val="0"/>
      <w:divBdr>
        <w:top w:val="none" w:sz="0" w:space="0" w:color="auto"/>
        <w:left w:val="none" w:sz="0" w:space="0" w:color="auto"/>
        <w:bottom w:val="none" w:sz="0" w:space="0" w:color="auto"/>
        <w:right w:val="none" w:sz="0" w:space="0" w:color="auto"/>
      </w:divBdr>
    </w:div>
    <w:div w:id="2024746493">
      <w:bodyDiv w:val="1"/>
      <w:marLeft w:val="0"/>
      <w:marRight w:val="0"/>
      <w:marTop w:val="0"/>
      <w:marBottom w:val="0"/>
      <w:divBdr>
        <w:top w:val="none" w:sz="0" w:space="0" w:color="auto"/>
        <w:left w:val="none" w:sz="0" w:space="0" w:color="auto"/>
        <w:bottom w:val="none" w:sz="0" w:space="0" w:color="auto"/>
        <w:right w:val="none" w:sz="0" w:space="0" w:color="auto"/>
      </w:divBdr>
    </w:div>
    <w:div w:id="2027053733">
      <w:bodyDiv w:val="1"/>
      <w:marLeft w:val="0"/>
      <w:marRight w:val="0"/>
      <w:marTop w:val="0"/>
      <w:marBottom w:val="0"/>
      <w:divBdr>
        <w:top w:val="none" w:sz="0" w:space="0" w:color="auto"/>
        <w:left w:val="none" w:sz="0" w:space="0" w:color="auto"/>
        <w:bottom w:val="none" w:sz="0" w:space="0" w:color="auto"/>
        <w:right w:val="none" w:sz="0" w:space="0" w:color="auto"/>
      </w:divBdr>
    </w:div>
    <w:div w:id="2028829418">
      <w:bodyDiv w:val="1"/>
      <w:marLeft w:val="0"/>
      <w:marRight w:val="0"/>
      <w:marTop w:val="0"/>
      <w:marBottom w:val="0"/>
      <w:divBdr>
        <w:top w:val="none" w:sz="0" w:space="0" w:color="auto"/>
        <w:left w:val="none" w:sz="0" w:space="0" w:color="auto"/>
        <w:bottom w:val="none" w:sz="0" w:space="0" w:color="auto"/>
        <w:right w:val="none" w:sz="0" w:space="0" w:color="auto"/>
      </w:divBdr>
    </w:div>
    <w:div w:id="2030909360">
      <w:bodyDiv w:val="1"/>
      <w:marLeft w:val="0"/>
      <w:marRight w:val="0"/>
      <w:marTop w:val="0"/>
      <w:marBottom w:val="0"/>
      <w:divBdr>
        <w:top w:val="none" w:sz="0" w:space="0" w:color="auto"/>
        <w:left w:val="none" w:sz="0" w:space="0" w:color="auto"/>
        <w:bottom w:val="none" w:sz="0" w:space="0" w:color="auto"/>
        <w:right w:val="none" w:sz="0" w:space="0" w:color="auto"/>
      </w:divBdr>
    </w:div>
    <w:div w:id="2032338237">
      <w:bodyDiv w:val="1"/>
      <w:marLeft w:val="0"/>
      <w:marRight w:val="0"/>
      <w:marTop w:val="0"/>
      <w:marBottom w:val="0"/>
      <w:divBdr>
        <w:top w:val="none" w:sz="0" w:space="0" w:color="auto"/>
        <w:left w:val="none" w:sz="0" w:space="0" w:color="auto"/>
        <w:bottom w:val="none" w:sz="0" w:space="0" w:color="auto"/>
        <w:right w:val="none" w:sz="0" w:space="0" w:color="auto"/>
      </w:divBdr>
    </w:div>
    <w:div w:id="2033874408">
      <w:bodyDiv w:val="1"/>
      <w:marLeft w:val="0"/>
      <w:marRight w:val="0"/>
      <w:marTop w:val="0"/>
      <w:marBottom w:val="0"/>
      <w:divBdr>
        <w:top w:val="none" w:sz="0" w:space="0" w:color="auto"/>
        <w:left w:val="none" w:sz="0" w:space="0" w:color="auto"/>
        <w:bottom w:val="none" w:sz="0" w:space="0" w:color="auto"/>
        <w:right w:val="none" w:sz="0" w:space="0" w:color="auto"/>
      </w:divBdr>
    </w:div>
    <w:div w:id="2034304985">
      <w:bodyDiv w:val="1"/>
      <w:marLeft w:val="0"/>
      <w:marRight w:val="0"/>
      <w:marTop w:val="0"/>
      <w:marBottom w:val="0"/>
      <w:divBdr>
        <w:top w:val="none" w:sz="0" w:space="0" w:color="auto"/>
        <w:left w:val="none" w:sz="0" w:space="0" w:color="auto"/>
        <w:bottom w:val="none" w:sz="0" w:space="0" w:color="auto"/>
        <w:right w:val="none" w:sz="0" w:space="0" w:color="auto"/>
      </w:divBdr>
    </w:div>
    <w:div w:id="2036465749">
      <w:bodyDiv w:val="1"/>
      <w:marLeft w:val="0"/>
      <w:marRight w:val="0"/>
      <w:marTop w:val="0"/>
      <w:marBottom w:val="0"/>
      <w:divBdr>
        <w:top w:val="none" w:sz="0" w:space="0" w:color="auto"/>
        <w:left w:val="none" w:sz="0" w:space="0" w:color="auto"/>
        <w:bottom w:val="none" w:sz="0" w:space="0" w:color="auto"/>
        <w:right w:val="none" w:sz="0" w:space="0" w:color="auto"/>
      </w:divBdr>
    </w:div>
    <w:div w:id="2037458701">
      <w:bodyDiv w:val="1"/>
      <w:marLeft w:val="0"/>
      <w:marRight w:val="0"/>
      <w:marTop w:val="0"/>
      <w:marBottom w:val="0"/>
      <w:divBdr>
        <w:top w:val="none" w:sz="0" w:space="0" w:color="auto"/>
        <w:left w:val="none" w:sz="0" w:space="0" w:color="auto"/>
        <w:bottom w:val="none" w:sz="0" w:space="0" w:color="auto"/>
        <w:right w:val="none" w:sz="0" w:space="0" w:color="auto"/>
      </w:divBdr>
    </w:div>
    <w:div w:id="2041543664">
      <w:bodyDiv w:val="1"/>
      <w:marLeft w:val="0"/>
      <w:marRight w:val="0"/>
      <w:marTop w:val="0"/>
      <w:marBottom w:val="0"/>
      <w:divBdr>
        <w:top w:val="none" w:sz="0" w:space="0" w:color="auto"/>
        <w:left w:val="none" w:sz="0" w:space="0" w:color="auto"/>
        <w:bottom w:val="none" w:sz="0" w:space="0" w:color="auto"/>
        <w:right w:val="none" w:sz="0" w:space="0" w:color="auto"/>
      </w:divBdr>
    </w:div>
    <w:div w:id="2043940182">
      <w:bodyDiv w:val="1"/>
      <w:marLeft w:val="0"/>
      <w:marRight w:val="0"/>
      <w:marTop w:val="0"/>
      <w:marBottom w:val="0"/>
      <w:divBdr>
        <w:top w:val="none" w:sz="0" w:space="0" w:color="auto"/>
        <w:left w:val="none" w:sz="0" w:space="0" w:color="auto"/>
        <w:bottom w:val="none" w:sz="0" w:space="0" w:color="auto"/>
        <w:right w:val="none" w:sz="0" w:space="0" w:color="auto"/>
      </w:divBdr>
    </w:div>
    <w:div w:id="2059474032">
      <w:bodyDiv w:val="1"/>
      <w:marLeft w:val="0"/>
      <w:marRight w:val="0"/>
      <w:marTop w:val="0"/>
      <w:marBottom w:val="0"/>
      <w:divBdr>
        <w:top w:val="none" w:sz="0" w:space="0" w:color="auto"/>
        <w:left w:val="none" w:sz="0" w:space="0" w:color="auto"/>
        <w:bottom w:val="none" w:sz="0" w:space="0" w:color="auto"/>
        <w:right w:val="none" w:sz="0" w:space="0" w:color="auto"/>
      </w:divBdr>
    </w:div>
    <w:div w:id="2068412868">
      <w:bodyDiv w:val="1"/>
      <w:marLeft w:val="0"/>
      <w:marRight w:val="0"/>
      <w:marTop w:val="0"/>
      <w:marBottom w:val="0"/>
      <w:divBdr>
        <w:top w:val="none" w:sz="0" w:space="0" w:color="auto"/>
        <w:left w:val="none" w:sz="0" w:space="0" w:color="auto"/>
        <w:bottom w:val="none" w:sz="0" w:space="0" w:color="auto"/>
        <w:right w:val="none" w:sz="0" w:space="0" w:color="auto"/>
      </w:divBdr>
    </w:div>
    <w:div w:id="2076967560">
      <w:bodyDiv w:val="1"/>
      <w:marLeft w:val="0"/>
      <w:marRight w:val="0"/>
      <w:marTop w:val="0"/>
      <w:marBottom w:val="0"/>
      <w:divBdr>
        <w:top w:val="none" w:sz="0" w:space="0" w:color="auto"/>
        <w:left w:val="none" w:sz="0" w:space="0" w:color="auto"/>
        <w:bottom w:val="none" w:sz="0" w:space="0" w:color="auto"/>
        <w:right w:val="none" w:sz="0" w:space="0" w:color="auto"/>
      </w:divBdr>
    </w:div>
    <w:div w:id="2089763096">
      <w:bodyDiv w:val="1"/>
      <w:marLeft w:val="0"/>
      <w:marRight w:val="0"/>
      <w:marTop w:val="0"/>
      <w:marBottom w:val="0"/>
      <w:divBdr>
        <w:top w:val="none" w:sz="0" w:space="0" w:color="auto"/>
        <w:left w:val="none" w:sz="0" w:space="0" w:color="auto"/>
        <w:bottom w:val="none" w:sz="0" w:space="0" w:color="auto"/>
        <w:right w:val="none" w:sz="0" w:space="0" w:color="auto"/>
      </w:divBdr>
    </w:div>
    <w:div w:id="2100057904">
      <w:bodyDiv w:val="1"/>
      <w:marLeft w:val="0"/>
      <w:marRight w:val="0"/>
      <w:marTop w:val="0"/>
      <w:marBottom w:val="0"/>
      <w:divBdr>
        <w:top w:val="none" w:sz="0" w:space="0" w:color="auto"/>
        <w:left w:val="none" w:sz="0" w:space="0" w:color="auto"/>
        <w:bottom w:val="none" w:sz="0" w:space="0" w:color="auto"/>
        <w:right w:val="none" w:sz="0" w:space="0" w:color="auto"/>
      </w:divBdr>
    </w:div>
    <w:div w:id="2100985198">
      <w:bodyDiv w:val="1"/>
      <w:marLeft w:val="0"/>
      <w:marRight w:val="0"/>
      <w:marTop w:val="0"/>
      <w:marBottom w:val="0"/>
      <w:divBdr>
        <w:top w:val="none" w:sz="0" w:space="0" w:color="auto"/>
        <w:left w:val="none" w:sz="0" w:space="0" w:color="auto"/>
        <w:bottom w:val="none" w:sz="0" w:space="0" w:color="auto"/>
        <w:right w:val="none" w:sz="0" w:space="0" w:color="auto"/>
      </w:divBdr>
    </w:div>
    <w:div w:id="2102138549">
      <w:bodyDiv w:val="1"/>
      <w:marLeft w:val="0"/>
      <w:marRight w:val="0"/>
      <w:marTop w:val="0"/>
      <w:marBottom w:val="0"/>
      <w:divBdr>
        <w:top w:val="none" w:sz="0" w:space="0" w:color="auto"/>
        <w:left w:val="none" w:sz="0" w:space="0" w:color="auto"/>
        <w:bottom w:val="none" w:sz="0" w:space="0" w:color="auto"/>
        <w:right w:val="none" w:sz="0" w:space="0" w:color="auto"/>
      </w:divBdr>
    </w:div>
    <w:div w:id="2102556253">
      <w:bodyDiv w:val="1"/>
      <w:marLeft w:val="0"/>
      <w:marRight w:val="0"/>
      <w:marTop w:val="0"/>
      <w:marBottom w:val="0"/>
      <w:divBdr>
        <w:top w:val="none" w:sz="0" w:space="0" w:color="auto"/>
        <w:left w:val="none" w:sz="0" w:space="0" w:color="auto"/>
        <w:bottom w:val="none" w:sz="0" w:space="0" w:color="auto"/>
        <w:right w:val="none" w:sz="0" w:space="0" w:color="auto"/>
      </w:divBdr>
    </w:div>
    <w:div w:id="2104180325">
      <w:bodyDiv w:val="1"/>
      <w:marLeft w:val="0"/>
      <w:marRight w:val="0"/>
      <w:marTop w:val="0"/>
      <w:marBottom w:val="0"/>
      <w:divBdr>
        <w:top w:val="none" w:sz="0" w:space="0" w:color="auto"/>
        <w:left w:val="none" w:sz="0" w:space="0" w:color="auto"/>
        <w:bottom w:val="none" w:sz="0" w:space="0" w:color="auto"/>
        <w:right w:val="none" w:sz="0" w:space="0" w:color="auto"/>
      </w:divBdr>
    </w:div>
    <w:div w:id="2104570060">
      <w:bodyDiv w:val="1"/>
      <w:marLeft w:val="0"/>
      <w:marRight w:val="0"/>
      <w:marTop w:val="0"/>
      <w:marBottom w:val="0"/>
      <w:divBdr>
        <w:top w:val="none" w:sz="0" w:space="0" w:color="auto"/>
        <w:left w:val="none" w:sz="0" w:space="0" w:color="auto"/>
        <w:bottom w:val="none" w:sz="0" w:space="0" w:color="auto"/>
        <w:right w:val="none" w:sz="0" w:space="0" w:color="auto"/>
      </w:divBdr>
    </w:div>
    <w:div w:id="2108696623">
      <w:bodyDiv w:val="1"/>
      <w:marLeft w:val="0"/>
      <w:marRight w:val="0"/>
      <w:marTop w:val="0"/>
      <w:marBottom w:val="0"/>
      <w:divBdr>
        <w:top w:val="none" w:sz="0" w:space="0" w:color="auto"/>
        <w:left w:val="none" w:sz="0" w:space="0" w:color="auto"/>
        <w:bottom w:val="none" w:sz="0" w:space="0" w:color="auto"/>
        <w:right w:val="none" w:sz="0" w:space="0" w:color="auto"/>
      </w:divBdr>
    </w:div>
    <w:div w:id="2113623354">
      <w:bodyDiv w:val="1"/>
      <w:marLeft w:val="0"/>
      <w:marRight w:val="0"/>
      <w:marTop w:val="0"/>
      <w:marBottom w:val="0"/>
      <w:divBdr>
        <w:top w:val="none" w:sz="0" w:space="0" w:color="auto"/>
        <w:left w:val="none" w:sz="0" w:space="0" w:color="auto"/>
        <w:bottom w:val="none" w:sz="0" w:space="0" w:color="auto"/>
        <w:right w:val="none" w:sz="0" w:space="0" w:color="auto"/>
      </w:divBdr>
    </w:div>
    <w:div w:id="2116316861">
      <w:bodyDiv w:val="1"/>
      <w:marLeft w:val="0"/>
      <w:marRight w:val="0"/>
      <w:marTop w:val="0"/>
      <w:marBottom w:val="0"/>
      <w:divBdr>
        <w:top w:val="none" w:sz="0" w:space="0" w:color="auto"/>
        <w:left w:val="none" w:sz="0" w:space="0" w:color="auto"/>
        <w:bottom w:val="none" w:sz="0" w:space="0" w:color="auto"/>
        <w:right w:val="none" w:sz="0" w:space="0" w:color="auto"/>
      </w:divBdr>
    </w:div>
    <w:div w:id="2120876143">
      <w:bodyDiv w:val="1"/>
      <w:marLeft w:val="0"/>
      <w:marRight w:val="0"/>
      <w:marTop w:val="0"/>
      <w:marBottom w:val="0"/>
      <w:divBdr>
        <w:top w:val="none" w:sz="0" w:space="0" w:color="auto"/>
        <w:left w:val="none" w:sz="0" w:space="0" w:color="auto"/>
        <w:bottom w:val="none" w:sz="0" w:space="0" w:color="auto"/>
        <w:right w:val="none" w:sz="0" w:space="0" w:color="auto"/>
      </w:divBdr>
    </w:div>
    <w:div w:id="2122845327">
      <w:bodyDiv w:val="1"/>
      <w:marLeft w:val="0"/>
      <w:marRight w:val="0"/>
      <w:marTop w:val="0"/>
      <w:marBottom w:val="0"/>
      <w:divBdr>
        <w:top w:val="none" w:sz="0" w:space="0" w:color="auto"/>
        <w:left w:val="none" w:sz="0" w:space="0" w:color="auto"/>
        <w:bottom w:val="none" w:sz="0" w:space="0" w:color="auto"/>
        <w:right w:val="none" w:sz="0" w:space="0" w:color="auto"/>
      </w:divBdr>
    </w:div>
    <w:div w:id="2128969070">
      <w:bodyDiv w:val="1"/>
      <w:marLeft w:val="0"/>
      <w:marRight w:val="0"/>
      <w:marTop w:val="0"/>
      <w:marBottom w:val="0"/>
      <w:divBdr>
        <w:top w:val="none" w:sz="0" w:space="0" w:color="auto"/>
        <w:left w:val="none" w:sz="0" w:space="0" w:color="auto"/>
        <w:bottom w:val="none" w:sz="0" w:space="0" w:color="auto"/>
        <w:right w:val="none" w:sz="0" w:space="0" w:color="auto"/>
      </w:divBdr>
    </w:div>
    <w:div w:id="2130657082">
      <w:bodyDiv w:val="1"/>
      <w:marLeft w:val="0"/>
      <w:marRight w:val="0"/>
      <w:marTop w:val="0"/>
      <w:marBottom w:val="0"/>
      <w:divBdr>
        <w:top w:val="none" w:sz="0" w:space="0" w:color="auto"/>
        <w:left w:val="none" w:sz="0" w:space="0" w:color="auto"/>
        <w:bottom w:val="none" w:sz="0" w:space="0" w:color="auto"/>
        <w:right w:val="none" w:sz="0" w:space="0" w:color="auto"/>
      </w:divBdr>
    </w:div>
    <w:div w:id="2134980781">
      <w:bodyDiv w:val="1"/>
      <w:marLeft w:val="0"/>
      <w:marRight w:val="0"/>
      <w:marTop w:val="0"/>
      <w:marBottom w:val="0"/>
      <w:divBdr>
        <w:top w:val="none" w:sz="0" w:space="0" w:color="auto"/>
        <w:left w:val="none" w:sz="0" w:space="0" w:color="auto"/>
        <w:bottom w:val="none" w:sz="0" w:space="0" w:color="auto"/>
        <w:right w:val="none" w:sz="0" w:space="0" w:color="auto"/>
      </w:divBdr>
    </w:div>
    <w:div w:id="2137524827">
      <w:bodyDiv w:val="1"/>
      <w:marLeft w:val="0"/>
      <w:marRight w:val="0"/>
      <w:marTop w:val="0"/>
      <w:marBottom w:val="0"/>
      <w:divBdr>
        <w:top w:val="none" w:sz="0" w:space="0" w:color="auto"/>
        <w:left w:val="none" w:sz="0" w:space="0" w:color="auto"/>
        <w:bottom w:val="none" w:sz="0" w:space="0" w:color="auto"/>
        <w:right w:val="none" w:sz="0" w:space="0" w:color="auto"/>
      </w:divBdr>
    </w:div>
    <w:div w:id="2138865627">
      <w:bodyDiv w:val="1"/>
      <w:marLeft w:val="0"/>
      <w:marRight w:val="0"/>
      <w:marTop w:val="0"/>
      <w:marBottom w:val="0"/>
      <w:divBdr>
        <w:top w:val="none" w:sz="0" w:space="0" w:color="auto"/>
        <w:left w:val="none" w:sz="0" w:space="0" w:color="auto"/>
        <w:bottom w:val="none" w:sz="0" w:space="0" w:color="auto"/>
        <w:right w:val="none" w:sz="0" w:space="0" w:color="auto"/>
      </w:divBdr>
    </w:div>
    <w:div w:id="214122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oes-cs.dk/olapdatabase/finanslov/index.cg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dbp\AppData\Local\Microsoft\Windows\Temporary%20Internet%20Files\Content.Outlook\WEV8D6HI\Ny%20tekstskabelo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rkivserver01\s$\S%20-%20Konsulenter\Konsulenter%20(personlige%20mapper)\SBJDM\R&#229;derum,%202025%20forl&#248;b%20mv\Loft21%20GRUNDFORL&#216;B_v2%20-%20beregning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bjdm\Dropbox\BDM%20-%20Analyse%20og%20tr&#230;ning\Cevea%20-%20Analyse%20af%20off.%20udgifter\Uddannelse\Beregninger%20-%20Selvfinansieringsgrad%20m%20og%20u%20diskontering%20til%20nutidsv&#230;rd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bjdm\Dropbox\BDM%20-%20Analyse%20og%20tr&#230;ning\Cevea%20-%20Analyse%20af%20off.%20udgifter\Uddannelse\Beregninger%20-%20Selvfinansieringsgrad%20m%20og%20u%20diskontering%20til%20nutidsv&#230;rd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'Offentlig forbrug'!$A$5</c:f>
              <c:strCache>
                <c:ptCount val="1"/>
                <c:pt idx="0">
                  <c:v>Vækst i det offentligt forbrug</c:v>
                </c:pt>
              </c:strCache>
            </c:strRef>
          </c:tx>
          <c:spPr>
            <a:ln w="28575" cap="rnd">
              <a:solidFill>
                <a:schemeClr val="accent1"/>
              </a:solidFill>
              <a:round/>
            </a:ln>
            <a:effectLst/>
          </c:spPr>
          <c:marker>
            <c:symbol val="none"/>
          </c:marker>
          <c:cat>
            <c:numRef>
              <c:f>'Offentlig forbrug'!$Q$1:$CX$1</c:f>
              <c:numCache>
                <c:formatCode>General</c:formatCode>
                <c:ptCount val="8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pt idx="46">
                  <c:v>2061</c:v>
                </c:pt>
                <c:pt idx="47">
                  <c:v>2062</c:v>
                </c:pt>
                <c:pt idx="48">
                  <c:v>2063</c:v>
                </c:pt>
                <c:pt idx="49">
                  <c:v>2064</c:v>
                </c:pt>
                <c:pt idx="50">
                  <c:v>2065</c:v>
                </c:pt>
                <c:pt idx="51">
                  <c:v>2066</c:v>
                </c:pt>
                <c:pt idx="52">
                  <c:v>2067</c:v>
                </c:pt>
                <c:pt idx="53">
                  <c:v>2068</c:v>
                </c:pt>
                <c:pt idx="54">
                  <c:v>2069</c:v>
                </c:pt>
                <c:pt idx="55">
                  <c:v>2070</c:v>
                </c:pt>
                <c:pt idx="56">
                  <c:v>2071</c:v>
                </c:pt>
                <c:pt idx="57">
                  <c:v>2072</c:v>
                </c:pt>
                <c:pt idx="58">
                  <c:v>2073</c:v>
                </c:pt>
                <c:pt idx="59">
                  <c:v>2074</c:v>
                </c:pt>
                <c:pt idx="60">
                  <c:v>2075</c:v>
                </c:pt>
                <c:pt idx="61">
                  <c:v>2076</c:v>
                </c:pt>
                <c:pt idx="62">
                  <c:v>2077</c:v>
                </c:pt>
                <c:pt idx="63">
                  <c:v>2078</c:v>
                </c:pt>
                <c:pt idx="64">
                  <c:v>2079</c:v>
                </c:pt>
                <c:pt idx="65">
                  <c:v>2080</c:v>
                </c:pt>
                <c:pt idx="66">
                  <c:v>2081</c:v>
                </c:pt>
                <c:pt idx="67">
                  <c:v>2082</c:v>
                </c:pt>
                <c:pt idx="68">
                  <c:v>2083</c:v>
                </c:pt>
                <c:pt idx="69">
                  <c:v>2084</c:v>
                </c:pt>
                <c:pt idx="70">
                  <c:v>2085</c:v>
                </c:pt>
                <c:pt idx="71">
                  <c:v>2086</c:v>
                </c:pt>
                <c:pt idx="72">
                  <c:v>2087</c:v>
                </c:pt>
                <c:pt idx="73">
                  <c:v>2088</c:v>
                </c:pt>
                <c:pt idx="74">
                  <c:v>2089</c:v>
                </c:pt>
                <c:pt idx="75">
                  <c:v>2090</c:v>
                </c:pt>
                <c:pt idx="76">
                  <c:v>2091</c:v>
                </c:pt>
                <c:pt idx="77">
                  <c:v>2092</c:v>
                </c:pt>
                <c:pt idx="78">
                  <c:v>2093</c:v>
                </c:pt>
                <c:pt idx="79">
                  <c:v>2094</c:v>
                </c:pt>
                <c:pt idx="80">
                  <c:v>2095</c:v>
                </c:pt>
                <c:pt idx="81">
                  <c:v>2096</c:v>
                </c:pt>
                <c:pt idx="82">
                  <c:v>2097</c:v>
                </c:pt>
                <c:pt idx="83">
                  <c:v>2098</c:v>
                </c:pt>
                <c:pt idx="84">
                  <c:v>2099</c:v>
                </c:pt>
                <c:pt idx="85">
                  <c:v>2100</c:v>
                </c:pt>
              </c:numCache>
            </c:numRef>
          </c:cat>
          <c:val>
            <c:numRef>
              <c:f>'Offentlig forbrug'!$Q$5:$CX$5</c:f>
              <c:numCache>
                <c:formatCode>0.0</c:formatCode>
                <c:ptCount val="86"/>
                <c:pt idx="0">
                  <c:v>0.6</c:v>
                </c:pt>
                <c:pt idx="1">
                  <c:v>0.4</c:v>
                </c:pt>
                <c:pt idx="2">
                  <c:v>0.8</c:v>
                </c:pt>
                <c:pt idx="3">
                  <c:v>0.5</c:v>
                </c:pt>
                <c:pt idx="4">
                  <c:v>0.3</c:v>
                </c:pt>
                <c:pt idx="5">
                  <c:v>0.3</c:v>
                </c:pt>
                <c:pt idx="6">
                  <c:v>0.3</c:v>
                </c:pt>
                <c:pt idx="7">
                  <c:v>0.3</c:v>
                </c:pt>
                <c:pt idx="8">
                  <c:v>0.3</c:v>
                </c:pt>
                <c:pt idx="9">
                  <c:v>0.3</c:v>
                </c:pt>
                <c:pt idx="10">
                  <c:v>0.3</c:v>
                </c:pt>
                <c:pt idx="11">
                  <c:v>1.5</c:v>
                </c:pt>
                <c:pt idx="12">
                  <c:v>1.1000000000000001</c:v>
                </c:pt>
                <c:pt idx="13">
                  <c:v>1.2</c:v>
                </c:pt>
                <c:pt idx="14">
                  <c:v>1.2</c:v>
                </c:pt>
                <c:pt idx="15">
                  <c:v>1.2</c:v>
                </c:pt>
                <c:pt idx="16">
                  <c:v>1.1000000000000001</c:v>
                </c:pt>
                <c:pt idx="17">
                  <c:v>1.1000000000000001</c:v>
                </c:pt>
                <c:pt idx="18">
                  <c:v>1.1000000000000001</c:v>
                </c:pt>
                <c:pt idx="19">
                  <c:v>1.1000000000000001</c:v>
                </c:pt>
                <c:pt idx="20">
                  <c:v>1</c:v>
                </c:pt>
                <c:pt idx="21">
                  <c:v>1</c:v>
                </c:pt>
                <c:pt idx="22">
                  <c:v>0.9</c:v>
                </c:pt>
                <c:pt idx="23">
                  <c:v>0.9</c:v>
                </c:pt>
                <c:pt idx="24">
                  <c:v>0.9</c:v>
                </c:pt>
                <c:pt idx="25">
                  <c:v>0.8</c:v>
                </c:pt>
                <c:pt idx="26">
                  <c:v>0.8</c:v>
                </c:pt>
                <c:pt idx="27">
                  <c:v>0.8</c:v>
                </c:pt>
                <c:pt idx="28">
                  <c:v>0.8</c:v>
                </c:pt>
                <c:pt idx="29">
                  <c:v>0.8</c:v>
                </c:pt>
                <c:pt idx="30">
                  <c:v>0.8</c:v>
                </c:pt>
                <c:pt idx="31">
                  <c:v>0.8</c:v>
                </c:pt>
                <c:pt idx="32">
                  <c:v>0.8</c:v>
                </c:pt>
                <c:pt idx="33">
                  <c:v>0.8</c:v>
                </c:pt>
                <c:pt idx="34">
                  <c:v>0.8</c:v>
                </c:pt>
                <c:pt idx="35">
                  <c:v>0.8</c:v>
                </c:pt>
                <c:pt idx="36">
                  <c:v>0.8</c:v>
                </c:pt>
                <c:pt idx="37">
                  <c:v>0.8</c:v>
                </c:pt>
                <c:pt idx="38">
                  <c:v>0.8</c:v>
                </c:pt>
                <c:pt idx="39">
                  <c:v>0.8</c:v>
                </c:pt>
                <c:pt idx="40">
                  <c:v>0.8</c:v>
                </c:pt>
                <c:pt idx="41">
                  <c:v>0.8</c:v>
                </c:pt>
                <c:pt idx="42">
                  <c:v>0.8</c:v>
                </c:pt>
                <c:pt idx="43">
                  <c:v>0.8</c:v>
                </c:pt>
                <c:pt idx="44">
                  <c:v>0.8</c:v>
                </c:pt>
                <c:pt idx="45">
                  <c:v>0.8</c:v>
                </c:pt>
                <c:pt idx="46">
                  <c:v>0.7</c:v>
                </c:pt>
                <c:pt idx="47">
                  <c:v>0.7</c:v>
                </c:pt>
                <c:pt idx="48">
                  <c:v>0.7</c:v>
                </c:pt>
                <c:pt idx="49">
                  <c:v>0.7</c:v>
                </c:pt>
                <c:pt idx="50">
                  <c:v>0.7</c:v>
                </c:pt>
                <c:pt idx="51">
                  <c:v>0.7</c:v>
                </c:pt>
                <c:pt idx="52">
                  <c:v>0.8</c:v>
                </c:pt>
                <c:pt idx="53">
                  <c:v>0.7</c:v>
                </c:pt>
                <c:pt idx="54">
                  <c:v>0.8</c:v>
                </c:pt>
                <c:pt idx="55">
                  <c:v>0.8</c:v>
                </c:pt>
                <c:pt idx="56">
                  <c:v>0.8</c:v>
                </c:pt>
                <c:pt idx="57">
                  <c:v>0.8</c:v>
                </c:pt>
                <c:pt idx="58">
                  <c:v>0.8</c:v>
                </c:pt>
                <c:pt idx="59">
                  <c:v>0.8</c:v>
                </c:pt>
                <c:pt idx="60">
                  <c:v>0.8</c:v>
                </c:pt>
                <c:pt idx="61">
                  <c:v>0.8</c:v>
                </c:pt>
                <c:pt idx="62">
                  <c:v>0.9</c:v>
                </c:pt>
                <c:pt idx="63">
                  <c:v>0.9</c:v>
                </c:pt>
                <c:pt idx="64">
                  <c:v>0.9</c:v>
                </c:pt>
                <c:pt idx="65">
                  <c:v>0.9</c:v>
                </c:pt>
                <c:pt idx="66">
                  <c:v>0.9</c:v>
                </c:pt>
                <c:pt idx="67">
                  <c:v>0.9</c:v>
                </c:pt>
                <c:pt idx="68">
                  <c:v>0.9</c:v>
                </c:pt>
                <c:pt idx="69">
                  <c:v>0.9</c:v>
                </c:pt>
                <c:pt idx="70">
                  <c:v>0.9</c:v>
                </c:pt>
                <c:pt idx="71">
                  <c:v>0.8</c:v>
                </c:pt>
                <c:pt idx="72">
                  <c:v>0.8</c:v>
                </c:pt>
                <c:pt idx="73">
                  <c:v>0.8</c:v>
                </c:pt>
                <c:pt idx="74">
                  <c:v>0.8</c:v>
                </c:pt>
                <c:pt idx="75">
                  <c:v>0.8</c:v>
                </c:pt>
                <c:pt idx="76">
                  <c:v>0.8</c:v>
                </c:pt>
                <c:pt idx="77">
                  <c:v>0.8</c:v>
                </c:pt>
                <c:pt idx="78">
                  <c:v>0.8</c:v>
                </c:pt>
                <c:pt idx="79">
                  <c:v>0.8</c:v>
                </c:pt>
                <c:pt idx="80">
                  <c:v>0.8</c:v>
                </c:pt>
                <c:pt idx="81">
                  <c:v>0.8</c:v>
                </c:pt>
                <c:pt idx="82">
                  <c:v>0.8</c:v>
                </c:pt>
                <c:pt idx="83">
                  <c:v>0.8</c:v>
                </c:pt>
                <c:pt idx="84">
                  <c:v>0.8</c:v>
                </c:pt>
                <c:pt idx="85" formatCode="General">
                  <c:v>0.8</c:v>
                </c:pt>
              </c:numCache>
            </c:numRef>
          </c:val>
          <c:smooth val="0"/>
        </c:ser>
        <c:ser>
          <c:idx val="1"/>
          <c:order val="1"/>
          <c:tx>
            <c:strRef>
              <c:f>'Offentlig forbrug'!$A$8</c:f>
              <c:strCache>
                <c:ptCount val="1"/>
                <c:pt idx="0">
                  <c:v>Vækst i det demografiske træk (pct.)</c:v>
                </c:pt>
              </c:strCache>
            </c:strRef>
          </c:tx>
          <c:spPr>
            <a:ln w="28575" cap="rnd">
              <a:solidFill>
                <a:schemeClr val="accent2"/>
              </a:solidFill>
              <a:round/>
            </a:ln>
            <a:effectLst/>
          </c:spPr>
          <c:marker>
            <c:symbol val="none"/>
          </c:marker>
          <c:cat>
            <c:numRef>
              <c:f>'Offentlig forbrug'!$Q$1:$CX$1</c:f>
              <c:numCache>
                <c:formatCode>General</c:formatCode>
                <c:ptCount val="8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pt idx="46">
                  <c:v>2061</c:v>
                </c:pt>
                <c:pt idx="47">
                  <c:v>2062</c:v>
                </c:pt>
                <c:pt idx="48">
                  <c:v>2063</c:v>
                </c:pt>
                <c:pt idx="49">
                  <c:v>2064</c:v>
                </c:pt>
                <c:pt idx="50">
                  <c:v>2065</c:v>
                </c:pt>
                <c:pt idx="51">
                  <c:v>2066</c:v>
                </c:pt>
                <c:pt idx="52">
                  <c:v>2067</c:v>
                </c:pt>
                <c:pt idx="53">
                  <c:v>2068</c:v>
                </c:pt>
                <c:pt idx="54">
                  <c:v>2069</c:v>
                </c:pt>
                <c:pt idx="55">
                  <c:v>2070</c:v>
                </c:pt>
                <c:pt idx="56">
                  <c:v>2071</c:v>
                </c:pt>
                <c:pt idx="57">
                  <c:v>2072</c:v>
                </c:pt>
                <c:pt idx="58">
                  <c:v>2073</c:v>
                </c:pt>
                <c:pt idx="59">
                  <c:v>2074</c:v>
                </c:pt>
                <c:pt idx="60">
                  <c:v>2075</c:v>
                </c:pt>
                <c:pt idx="61">
                  <c:v>2076</c:v>
                </c:pt>
                <c:pt idx="62">
                  <c:v>2077</c:v>
                </c:pt>
                <c:pt idx="63">
                  <c:v>2078</c:v>
                </c:pt>
                <c:pt idx="64">
                  <c:v>2079</c:v>
                </c:pt>
                <c:pt idx="65">
                  <c:v>2080</c:v>
                </c:pt>
                <c:pt idx="66">
                  <c:v>2081</c:v>
                </c:pt>
                <c:pt idx="67">
                  <c:v>2082</c:v>
                </c:pt>
                <c:pt idx="68">
                  <c:v>2083</c:v>
                </c:pt>
                <c:pt idx="69">
                  <c:v>2084</c:v>
                </c:pt>
                <c:pt idx="70">
                  <c:v>2085</c:v>
                </c:pt>
                <c:pt idx="71">
                  <c:v>2086</c:v>
                </c:pt>
                <c:pt idx="72">
                  <c:v>2087</c:v>
                </c:pt>
                <c:pt idx="73">
                  <c:v>2088</c:v>
                </c:pt>
                <c:pt idx="74">
                  <c:v>2089</c:v>
                </c:pt>
                <c:pt idx="75">
                  <c:v>2090</c:v>
                </c:pt>
                <c:pt idx="76">
                  <c:v>2091</c:v>
                </c:pt>
                <c:pt idx="77">
                  <c:v>2092</c:v>
                </c:pt>
                <c:pt idx="78">
                  <c:v>2093</c:v>
                </c:pt>
                <c:pt idx="79">
                  <c:v>2094</c:v>
                </c:pt>
                <c:pt idx="80">
                  <c:v>2095</c:v>
                </c:pt>
                <c:pt idx="81">
                  <c:v>2096</c:v>
                </c:pt>
                <c:pt idx="82">
                  <c:v>2097</c:v>
                </c:pt>
                <c:pt idx="83">
                  <c:v>2098</c:v>
                </c:pt>
                <c:pt idx="84">
                  <c:v>2099</c:v>
                </c:pt>
                <c:pt idx="85">
                  <c:v>2100</c:v>
                </c:pt>
              </c:numCache>
            </c:numRef>
          </c:cat>
          <c:val>
            <c:numRef>
              <c:f>'Offentlig forbrug'!$Q$8:$CX$8</c:f>
              <c:numCache>
                <c:formatCode>General</c:formatCode>
                <c:ptCount val="86"/>
                <c:pt idx="0">
                  <c:v>0.7</c:v>
                </c:pt>
                <c:pt idx="1">
                  <c:v>0.8</c:v>
                </c:pt>
                <c:pt idx="2" formatCode="0.0">
                  <c:v>0.8</c:v>
                </c:pt>
                <c:pt idx="3" formatCode="0.0">
                  <c:v>0.7</c:v>
                </c:pt>
                <c:pt idx="4" formatCode="0.0">
                  <c:v>0.6</c:v>
                </c:pt>
                <c:pt idx="5" formatCode="0.0">
                  <c:v>0.6</c:v>
                </c:pt>
                <c:pt idx="6" formatCode="0.0">
                  <c:v>0.6</c:v>
                </c:pt>
                <c:pt idx="7" formatCode="0.0">
                  <c:v>0.6</c:v>
                </c:pt>
                <c:pt idx="8" formatCode="0.0">
                  <c:v>0.7</c:v>
                </c:pt>
                <c:pt idx="9" formatCode="0.0">
                  <c:v>0.7</c:v>
                </c:pt>
                <c:pt idx="10" formatCode="0.0">
                  <c:v>0.7</c:v>
                </c:pt>
                <c:pt idx="11" formatCode="0.0">
                  <c:v>0.7</c:v>
                </c:pt>
                <c:pt idx="12" formatCode="0.0">
                  <c:v>0.7</c:v>
                </c:pt>
                <c:pt idx="13" formatCode="0.0">
                  <c:v>0.7</c:v>
                </c:pt>
                <c:pt idx="14" formatCode="0.0">
                  <c:v>0.7</c:v>
                </c:pt>
                <c:pt idx="15" formatCode="0.0">
                  <c:v>0.6</c:v>
                </c:pt>
                <c:pt idx="16" formatCode="0.0">
                  <c:v>0.6</c:v>
                </c:pt>
                <c:pt idx="17" formatCode="0.0">
                  <c:v>0.6</c:v>
                </c:pt>
                <c:pt idx="18" formatCode="0.0">
                  <c:v>0.6</c:v>
                </c:pt>
                <c:pt idx="19" formatCode="0.0">
                  <c:v>0.6</c:v>
                </c:pt>
                <c:pt idx="20" formatCode="0.0">
                  <c:v>0.5</c:v>
                </c:pt>
                <c:pt idx="21" formatCode="0.0">
                  <c:v>0.5</c:v>
                </c:pt>
                <c:pt idx="22" formatCode="0.0">
                  <c:v>0.4</c:v>
                </c:pt>
                <c:pt idx="23" formatCode="0.0">
                  <c:v>0.4</c:v>
                </c:pt>
                <c:pt idx="24" formatCode="0.0">
                  <c:v>0.4</c:v>
                </c:pt>
                <c:pt idx="25" formatCode="0.0">
                  <c:v>0.4</c:v>
                </c:pt>
                <c:pt idx="26" formatCode="0.0">
                  <c:v>0.3</c:v>
                </c:pt>
                <c:pt idx="27" formatCode="0.0">
                  <c:v>0.3</c:v>
                </c:pt>
                <c:pt idx="28" formatCode="0.0">
                  <c:v>0.3</c:v>
                </c:pt>
                <c:pt idx="29" formatCode="0.0">
                  <c:v>0.3</c:v>
                </c:pt>
                <c:pt idx="30" formatCode="0.0">
                  <c:v>0.3</c:v>
                </c:pt>
                <c:pt idx="31" formatCode="0.0">
                  <c:v>0.3</c:v>
                </c:pt>
                <c:pt idx="32" formatCode="0.0">
                  <c:v>0.3</c:v>
                </c:pt>
                <c:pt idx="33" formatCode="0.0">
                  <c:v>0.3</c:v>
                </c:pt>
                <c:pt idx="34" formatCode="0.0">
                  <c:v>0.3</c:v>
                </c:pt>
                <c:pt idx="35" formatCode="0.0">
                  <c:v>0.3</c:v>
                </c:pt>
                <c:pt idx="36" formatCode="0.0">
                  <c:v>0.3</c:v>
                </c:pt>
                <c:pt idx="37" formatCode="0.0">
                  <c:v>0.3</c:v>
                </c:pt>
                <c:pt idx="38" formatCode="0.0">
                  <c:v>0.3</c:v>
                </c:pt>
                <c:pt idx="39" formatCode="0.0">
                  <c:v>0.3</c:v>
                </c:pt>
                <c:pt idx="40" formatCode="0.0">
                  <c:v>0.3</c:v>
                </c:pt>
                <c:pt idx="41" formatCode="0.0">
                  <c:v>0.3</c:v>
                </c:pt>
                <c:pt idx="42" formatCode="0.0">
                  <c:v>0.3</c:v>
                </c:pt>
                <c:pt idx="43" formatCode="0.0">
                  <c:v>0.2</c:v>
                </c:pt>
                <c:pt idx="44" formatCode="0.0">
                  <c:v>0.2</c:v>
                </c:pt>
                <c:pt idx="45" formatCode="0.0">
                  <c:v>0.2</c:v>
                </c:pt>
                <c:pt idx="46" formatCode="0.0">
                  <c:v>0.2</c:v>
                </c:pt>
                <c:pt idx="47" formatCode="0.0">
                  <c:v>0.2</c:v>
                </c:pt>
                <c:pt idx="48" formatCode="0.0">
                  <c:v>0.2</c:v>
                </c:pt>
                <c:pt idx="49" formatCode="0.0">
                  <c:v>0.2</c:v>
                </c:pt>
                <c:pt idx="50" formatCode="0.0">
                  <c:v>0.2</c:v>
                </c:pt>
                <c:pt idx="51" formatCode="0.0">
                  <c:v>0.2</c:v>
                </c:pt>
                <c:pt idx="52" formatCode="0.0">
                  <c:v>0.2</c:v>
                </c:pt>
                <c:pt idx="53" formatCode="0.0">
                  <c:v>0.3</c:v>
                </c:pt>
                <c:pt idx="54" formatCode="0.0">
                  <c:v>0.3</c:v>
                </c:pt>
                <c:pt idx="55" formatCode="0.0">
                  <c:v>0.3</c:v>
                </c:pt>
                <c:pt idx="56" formatCode="0.0">
                  <c:v>0.3</c:v>
                </c:pt>
                <c:pt idx="57" formatCode="0.0">
                  <c:v>0.3</c:v>
                </c:pt>
                <c:pt idx="58" formatCode="0.0">
                  <c:v>0.3</c:v>
                </c:pt>
                <c:pt idx="59" formatCode="0.0">
                  <c:v>0.3</c:v>
                </c:pt>
                <c:pt idx="60" formatCode="0.0">
                  <c:v>0.3</c:v>
                </c:pt>
                <c:pt idx="61" formatCode="0.0">
                  <c:v>0.4</c:v>
                </c:pt>
                <c:pt idx="62" formatCode="0.0">
                  <c:v>0.4</c:v>
                </c:pt>
                <c:pt idx="63" formatCode="0.0">
                  <c:v>0.4</c:v>
                </c:pt>
                <c:pt idx="64" formatCode="0.0">
                  <c:v>0.4</c:v>
                </c:pt>
                <c:pt idx="65" formatCode="0.0">
                  <c:v>0.4</c:v>
                </c:pt>
                <c:pt idx="66" formatCode="0.0">
                  <c:v>0.4</c:v>
                </c:pt>
                <c:pt idx="67" formatCode="0.0">
                  <c:v>0.4</c:v>
                </c:pt>
                <c:pt idx="68" formatCode="0.0">
                  <c:v>0.4</c:v>
                </c:pt>
                <c:pt idx="69" formatCode="0.0">
                  <c:v>0.4</c:v>
                </c:pt>
                <c:pt idx="70" formatCode="0.0">
                  <c:v>0.4</c:v>
                </c:pt>
                <c:pt idx="71" formatCode="0.0">
                  <c:v>0.4</c:v>
                </c:pt>
                <c:pt idx="72" formatCode="0.0">
                  <c:v>0.3</c:v>
                </c:pt>
                <c:pt idx="73" formatCode="0.0">
                  <c:v>0.3</c:v>
                </c:pt>
                <c:pt idx="74" formatCode="0.0">
                  <c:v>0.3</c:v>
                </c:pt>
                <c:pt idx="75" formatCode="0.0">
                  <c:v>0.3</c:v>
                </c:pt>
                <c:pt idx="76" formatCode="0.0">
                  <c:v>0.3</c:v>
                </c:pt>
                <c:pt idx="77" formatCode="0.0">
                  <c:v>0.3</c:v>
                </c:pt>
                <c:pt idx="78" formatCode="0.0">
                  <c:v>0.3</c:v>
                </c:pt>
                <c:pt idx="79" formatCode="0.0">
                  <c:v>0.3</c:v>
                </c:pt>
                <c:pt idx="80" formatCode="0.0">
                  <c:v>0.3</c:v>
                </c:pt>
                <c:pt idx="81" formatCode="0.0">
                  <c:v>0.3</c:v>
                </c:pt>
                <c:pt idx="82" formatCode="0.0">
                  <c:v>0.3</c:v>
                </c:pt>
                <c:pt idx="83" formatCode="0.0">
                  <c:v>0.3</c:v>
                </c:pt>
                <c:pt idx="84" formatCode="0.0">
                  <c:v>0.3</c:v>
                </c:pt>
                <c:pt idx="85">
                  <c:v>0.3</c:v>
                </c:pt>
              </c:numCache>
            </c:numRef>
          </c:val>
          <c:smooth val="0"/>
        </c:ser>
        <c:dLbls>
          <c:showLegendKey val="0"/>
          <c:showVal val="0"/>
          <c:showCatName val="0"/>
          <c:showSerName val="0"/>
          <c:showPercent val="0"/>
          <c:showBubbleSize val="0"/>
        </c:dLbls>
        <c:marker val="1"/>
        <c:smooth val="0"/>
        <c:axId val="107580416"/>
        <c:axId val="107586304"/>
      </c:lineChart>
      <c:catAx>
        <c:axId val="1075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86304"/>
        <c:crosses val="autoZero"/>
        <c:auto val="1"/>
        <c:lblAlgn val="ctr"/>
        <c:lblOffset val="100"/>
        <c:tickLblSkip val="5"/>
        <c:tickMarkSkip val="5"/>
        <c:noMultiLvlLbl val="0"/>
      </c:catAx>
      <c:valAx>
        <c:axId val="107586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8041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'Ark1'!$B$14</c:f>
              <c:strCache>
                <c:ptCount val="1"/>
                <c:pt idx="0">
                  <c:v>Saldoeffekt</c:v>
                </c:pt>
              </c:strCache>
            </c:strRef>
          </c:tx>
          <c:spPr>
            <a:ln w="28575" cap="rnd">
              <a:solidFill>
                <a:schemeClr val="accent1"/>
              </a:solidFill>
              <a:round/>
            </a:ln>
            <a:effectLst/>
          </c:spPr>
          <c:marker>
            <c:symbol val="none"/>
          </c:marker>
          <c:val>
            <c:numRef>
              <c:f>'Ark1'!$D$14:$AW$14</c:f>
              <c:numCache>
                <c:formatCode>0</c:formatCode>
                <c:ptCount val="46"/>
                <c:pt idx="0">
                  <c:v>-16.333333333333321</c:v>
                </c:pt>
                <c:pt idx="1">
                  <c:v>-16.333333333333321</c:v>
                </c:pt>
                <c:pt idx="2">
                  <c:v>-16.333333333333321</c:v>
                </c:pt>
                <c:pt idx="3">
                  <c:v>-16.333333333333321</c:v>
                </c:pt>
                <c:pt idx="4">
                  <c:v>-16.333333333333321</c:v>
                </c:pt>
                <c:pt idx="5">
                  <c:v>-16.333333333333321</c:v>
                </c:pt>
                <c:pt idx="6">
                  <c:v>2.75</c:v>
                </c:pt>
                <c:pt idx="7">
                  <c:v>2.75</c:v>
                </c:pt>
                <c:pt idx="8">
                  <c:v>2.75</c:v>
                </c:pt>
                <c:pt idx="9">
                  <c:v>2.75</c:v>
                </c:pt>
                <c:pt idx="10">
                  <c:v>2.75</c:v>
                </c:pt>
                <c:pt idx="11">
                  <c:v>2.75</c:v>
                </c:pt>
                <c:pt idx="12">
                  <c:v>2.75</c:v>
                </c:pt>
                <c:pt idx="13">
                  <c:v>2.75</c:v>
                </c:pt>
                <c:pt idx="14">
                  <c:v>2.75</c:v>
                </c:pt>
                <c:pt idx="15">
                  <c:v>2.75</c:v>
                </c:pt>
                <c:pt idx="16">
                  <c:v>2.75</c:v>
                </c:pt>
                <c:pt idx="17">
                  <c:v>2.75</c:v>
                </c:pt>
                <c:pt idx="18">
                  <c:v>2.75</c:v>
                </c:pt>
                <c:pt idx="19">
                  <c:v>2.75</c:v>
                </c:pt>
                <c:pt idx="20">
                  <c:v>2.75</c:v>
                </c:pt>
                <c:pt idx="21">
                  <c:v>2.75</c:v>
                </c:pt>
                <c:pt idx="22">
                  <c:v>2.75</c:v>
                </c:pt>
                <c:pt idx="23">
                  <c:v>2.75</c:v>
                </c:pt>
                <c:pt idx="24">
                  <c:v>2.75</c:v>
                </c:pt>
                <c:pt idx="25">
                  <c:v>2.75</c:v>
                </c:pt>
                <c:pt idx="26">
                  <c:v>2.75</c:v>
                </c:pt>
                <c:pt idx="27">
                  <c:v>2.75</c:v>
                </c:pt>
                <c:pt idx="28">
                  <c:v>2.75</c:v>
                </c:pt>
                <c:pt idx="29">
                  <c:v>2.75</c:v>
                </c:pt>
                <c:pt idx="30">
                  <c:v>2.75</c:v>
                </c:pt>
                <c:pt idx="31">
                  <c:v>2.75</c:v>
                </c:pt>
                <c:pt idx="32">
                  <c:v>2.75</c:v>
                </c:pt>
                <c:pt idx="33">
                  <c:v>2.75</c:v>
                </c:pt>
                <c:pt idx="34">
                  <c:v>2.75</c:v>
                </c:pt>
                <c:pt idx="35">
                  <c:v>2.75</c:v>
                </c:pt>
                <c:pt idx="36">
                  <c:v>2.75</c:v>
                </c:pt>
                <c:pt idx="37">
                  <c:v>2.75</c:v>
                </c:pt>
                <c:pt idx="38">
                  <c:v>2.75</c:v>
                </c:pt>
                <c:pt idx="39">
                  <c:v>2.75</c:v>
                </c:pt>
                <c:pt idx="40">
                  <c:v>2.75</c:v>
                </c:pt>
                <c:pt idx="41">
                  <c:v>2.75</c:v>
                </c:pt>
                <c:pt idx="42">
                  <c:v>2.75</c:v>
                </c:pt>
                <c:pt idx="43">
                  <c:v>2.75</c:v>
                </c:pt>
                <c:pt idx="44">
                  <c:v>2.75</c:v>
                </c:pt>
                <c:pt idx="45">
                  <c:v>2.75</c:v>
                </c:pt>
              </c:numCache>
            </c:numRef>
          </c:val>
          <c:smooth val="0"/>
        </c:ser>
        <c:ser>
          <c:idx val="1"/>
          <c:order val="1"/>
          <c:tx>
            <c:strRef>
              <c:f>'Ark1'!$B$15</c:f>
              <c:strCache>
                <c:ptCount val="1"/>
                <c:pt idx="0">
                  <c:v>Akkumuleret saldoeffekt</c:v>
                </c:pt>
              </c:strCache>
            </c:strRef>
          </c:tx>
          <c:spPr>
            <a:ln w="28575" cap="rnd">
              <a:solidFill>
                <a:schemeClr val="accent2"/>
              </a:solidFill>
              <a:round/>
            </a:ln>
            <a:effectLst/>
          </c:spPr>
          <c:marker>
            <c:symbol val="none"/>
          </c:marker>
          <c:val>
            <c:numRef>
              <c:f>'Ark1'!$D$15:$AW$15</c:f>
              <c:numCache>
                <c:formatCode>0</c:formatCode>
                <c:ptCount val="46"/>
                <c:pt idx="0">
                  <c:v>-16.333333333333321</c:v>
                </c:pt>
                <c:pt idx="1">
                  <c:v>-32.66666666666665</c:v>
                </c:pt>
                <c:pt idx="2">
                  <c:v>-49</c:v>
                </c:pt>
                <c:pt idx="3">
                  <c:v>-65.333333333333314</c:v>
                </c:pt>
                <c:pt idx="4">
                  <c:v>-81.666666666666643</c:v>
                </c:pt>
                <c:pt idx="5">
                  <c:v>-98</c:v>
                </c:pt>
                <c:pt idx="6">
                  <c:v>-95.25</c:v>
                </c:pt>
                <c:pt idx="7">
                  <c:v>-92.5</c:v>
                </c:pt>
                <c:pt idx="8">
                  <c:v>-89.75</c:v>
                </c:pt>
                <c:pt idx="9">
                  <c:v>-87</c:v>
                </c:pt>
                <c:pt idx="10">
                  <c:v>-84.25</c:v>
                </c:pt>
                <c:pt idx="11">
                  <c:v>-81.5</c:v>
                </c:pt>
                <c:pt idx="12">
                  <c:v>-78.75</c:v>
                </c:pt>
                <c:pt idx="13">
                  <c:v>-76</c:v>
                </c:pt>
                <c:pt idx="14">
                  <c:v>-73.25</c:v>
                </c:pt>
                <c:pt idx="15">
                  <c:v>-70.5</c:v>
                </c:pt>
                <c:pt idx="16">
                  <c:v>-67.75</c:v>
                </c:pt>
                <c:pt idx="17">
                  <c:v>-65</c:v>
                </c:pt>
                <c:pt idx="18">
                  <c:v>-62.25</c:v>
                </c:pt>
                <c:pt idx="19">
                  <c:v>-59.5</c:v>
                </c:pt>
                <c:pt idx="20">
                  <c:v>-56.75</c:v>
                </c:pt>
                <c:pt idx="21">
                  <c:v>-54</c:v>
                </c:pt>
                <c:pt idx="22">
                  <c:v>-51.25</c:v>
                </c:pt>
                <c:pt idx="23">
                  <c:v>-48.5</c:v>
                </c:pt>
                <c:pt idx="24">
                  <c:v>-45.75</c:v>
                </c:pt>
                <c:pt idx="25">
                  <c:v>-43</c:v>
                </c:pt>
                <c:pt idx="26">
                  <c:v>-40.25</c:v>
                </c:pt>
                <c:pt idx="27">
                  <c:v>-37.5</c:v>
                </c:pt>
                <c:pt idx="28">
                  <c:v>-34.75</c:v>
                </c:pt>
                <c:pt idx="29">
                  <c:v>-31.999999999999989</c:v>
                </c:pt>
                <c:pt idx="30">
                  <c:v>-29.249999999999989</c:v>
                </c:pt>
                <c:pt idx="31">
                  <c:v>-26.499999999999989</c:v>
                </c:pt>
                <c:pt idx="32">
                  <c:v>-23.749999999999989</c:v>
                </c:pt>
                <c:pt idx="33">
                  <c:v>-20.999999999999989</c:v>
                </c:pt>
                <c:pt idx="34">
                  <c:v>-18.249999999999989</c:v>
                </c:pt>
                <c:pt idx="35">
                  <c:v>-15.499999999999989</c:v>
                </c:pt>
                <c:pt idx="36">
                  <c:v>-12.749999999999989</c:v>
                </c:pt>
                <c:pt idx="37">
                  <c:v>-9.9999999999999876</c:v>
                </c:pt>
                <c:pt idx="38">
                  <c:v>-7.2499999999999858</c:v>
                </c:pt>
                <c:pt idx="39">
                  <c:v>-4.4999999999999858</c:v>
                </c:pt>
                <c:pt idx="40">
                  <c:v>-1.749999999999986</c:v>
                </c:pt>
                <c:pt idx="41">
                  <c:v>1.000000000000014</c:v>
                </c:pt>
                <c:pt idx="42">
                  <c:v>3.7500000000000142</c:v>
                </c:pt>
                <c:pt idx="43">
                  <c:v>6.5000000000000142</c:v>
                </c:pt>
                <c:pt idx="44">
                  <c:v>9.2500000000000142</c:v>
                </c:pt>
                <c:pt idx="45">
                  <c:v>12.000000000000011</c:v>
                </c:pt>
              </c:numCache>
            </c:numRef>
          </c:val>
          <c:smooth val="0"/>
        </c:ser>
        <c:dLbls>
          <c:showLegendKey val="0"/>
          <c:showVal val="0"/>
          <c:showCatName val="0"/>
          <c:showSerName val="0"/>
          <c:showPercent val="0"/>
          <c:showBubbleSize val="0"/>
        </c:dLbls>
        <c:marker val="1"/>
        <c:smooth val="0"/>
        <c:axId val="108099456"/>
        <c:axId val="108100992"/>
      </c:lineChart>
      <c:catAx>
        <c:axId val="1080994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00992"/>
        <c:crosses val="autoZero"/>
        <c:auto val="1"/>
        <c:lblAlgn val="ctr"/>
        <c:lblOffset val="100"/>
        <c:noMultiLvlLbl val="0"/>
      </c:catAx>
      <c:valAx>
        <c:axId val="108100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Mio. kr.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09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'Ark1'!$B$32</c:f>
              <c:strCache>
                <c:ptCount val="1"/>
                <c:pt idx="0">
                  <c:v>Saldoeffekt</c:v>
                </c:pt>
              </c:strCache>
            </c:strRef>
          </c:tx>
          <c:spPr>
            <a:ln w="28575" cap="rnd">
              <a:solidFill>
                <a:schemeClr val="accent1"/>
              </a:solidFill>
              <a:round/>
            </a:ln>
            <a:effectLst/>
          </c:spPr>
          <c:marker>
            <c:symbol val="none"/>
          </c:marker>
          <c:val>
            <c:numRef>
              <c:f>'Ark1'!$C$32:$AW$32</c:f>
              <c:numCache>
                <c:formatCode>0</c:formatCode>
                <c:ptCount val="47"/>
                <c:pt idx="0">
                  <c:v>-43.952140821754867</c:v>
                </c:pt>
                <c:pt idx="1">
                  <c:v>-16.333333333333321</c:v>
                </c:pt>
                <c:pt idx="2">
                  <c:v>-15.70512820512821</c:v>
                </c:pt>
                <c:pt idx="3">
                  <c:v>-15.101084812623281</c:v>
                </c:pt>
                <c:pt idx="4">
                  <c:v>-14.52027385829161</c:v>
                </c:pt>
                <c:pt idx="5">
                  <c:v>-13.96180178681885</c:v>
                </c:pt>
                <c:pt idx="6">
                  <c:v>-13.424809410402739</c:v>
                </c:pt>
                <c:pt idx="7">
                  <c:v>2.1733649457579038</c:v>
                </c:pt>
                <c:pt idx="8">
                  <c:v>2.0897739863056728</c:v>
                </c:pt>
                <c:pt idx="9">
                  <c:v>2.0093980637554552</c:v>
                </c:pt>
                <c:pt idx="10">
                  <c:v>1.9321135228417861</c:v>
                </c:pt>
                <c:pt idx="11">
                  <c:v>1.8578014642709451</c:v>
                </c:pt>
                <c:pt idx="12">
                  <c:v>1.786347561798987</c:v>
                </c:pt>
                <c:pt idx="13">
                  <c:v>1.717641886345181</c:v>
                </c:pt>
                <c:pt idx="14">
                  <c:v>1.651578736870366</c:v>
                </c:pt>
                <c:pt idx="15">
                  <c:v>1.5880564777599671</c:v>
                </c:pt>
                <c:pt idx="16">
                  <c:v>1.526977382461506</c:v>
                </c:pt>
                <c:pt idx="17">
                  <c:v>1.468247483136063</c:v>
                </c:pt>
                <c:pt idx="18">
                  <c:v>1.411776426092372</c:v>
                </c:pt>
                <c:pt idx="19">
                  <c:v>1.3574773327811229</c:v>
                </c:pt>
                <c:pt idx="20">
                  <c:v>1.305266666135694</c:v>
                </c:pt>
                <c:pt idx="21">
                  <c:v>1.255064102053554</c:v>
                </c:pt>
                <c:pt idx="22">
                  <c:v>1.2067924058207249</c:v>
                </c:pt>
                <c:pt idx="23">
                  <c:v>1.1603773132891599</c:v>
                </c:pt>
                <c:pt idx="24">
                  <c:v>1.1157474166241941</c:v>
                </c:pt>
                <c:pt idx="25">
                  <c:v>1.0728340544463371</c:v>
                </c:pt>
                <c:pt idx="26">
                  <c:v>1.0315712061984019</c:v>
                </c:pt>
                <c:pt idx="27">
                  <c:v>0.99189539057538501</c:v>
                </c:pt>
                <c:pt idx="28">
                  <c:v>0.953745567860949</c:v>
                </c:pt>
                <c:pt idx="29">
                  <c:v>0.91706304602014299</c:v>
                </c:pt>
                <c:pt idx="30">
                  <c:v>0.88179139040398502</c:v>
                </c:pt>
                <c:pt idx="31">
                  <c:v>0.847876336926907</c:v>
                </c:pt>
                <c:pt idx="32">
                  <c:v>0.81526570858356395</c:v>
                </c:pt>
                <c:pt idx="33">
                  <c:v>0.78390933517650496</c:v>
                </c:pt>
                <c:pt idx="34">
                  <c:v>0.75375897613125398</c:v>
                </c:pt>
                <c:pt idx="35">
                  <c:v>0.72476824628005199</c:v>
                </c:pt>
                <c:pt idx="36">
                  <c:v>0.70365849153403004</c:v>
                </c:pt>
                <c:pt idx="37">
                  <c:v>0.68316358401362198</c:v>
                </c:pt>
                <c:pt idx="38">
                  <c:v>0.66326561554720498</c:v>
                </c:pt>
                <c:pt idx="39">
                  <c:v>0.64394719956039503</c:v>
                </c:pt>
                <c:pt idx="40">
                  <c:v>0.62519145588387803</c:v>
                </c:pt>
                <c:pt idx="41">
                  <c:v>0.60698199600376501</c:v>
                </c:pt>
                <c:pt idx="42">
                  <c:v>0.58930290874151903</c:v>
                </c:pt>
                <c:pt idx="43">
                  <c:v>0.57213874635098905</c:v>
                </c:pt>
                <c:pt idx="44">
                  <c:v>0.55547451102037804</c:v>
                </c:pt>
                <c:pt idx="45">
                  <c:v>0.539295641767357</c:v>
                </c:pt>
                <c:pt idx="46">
                  <c:v>0.52358800171588105</c:v>
                </c:pt>
              </c:numCache>
            </c:numRef>
          </c:val>
          <c:smooth val="0"/>
        </c:ser>
        <c:ser>
          <c:idx val="1"/>
          <c:order val="1"/>
          <c:tx>
            <c:strRef>
              <c:f>'Ark1'!$B$33</c:f>
              <c:strCache>
                <c:ptCount val="1"/>
                <c:pt idx="0">
                  <c:v>Akkumuleret saldoeffekt</c:v>
                </c:pt>
              </c:strCache>
            </c:strRef>
          </c:tx>
          <c:spPr>
            <a:ln w="28575" cap="rnd">
              <a:solidFill>
                <a:schemeClr val="accent2"/>
              </a:solidFill>
              <a:round/>
            </a:ln>
            <a:effectLst/>
          </c:spPr>
          <c:marker>
            <c:symbol val="none"/>
          </c:marker>
          <c:val>
            <c:numRef>
              <c:f>'Ark1'!$C$33:$AW$33</c:f>
              <c:numCache>
                <c:formatCode>0</c:formatCode>
                <c:ptCount val="47"/>
                <c:pt idx="1">
                  <c:v>-16.333333333333321</c:v>
                </c:pt>
                <c:pt idx="2">
                  <c:v>-32.03846153846154</c:v>
                </c:pt>
                <c:pt idx="3">
                  <c:v>-47.139546351084817</c:v>
                </c:pt>
                <c:pt idx="4">
                  <c:v>-61.65982020937642</c:v>
                </c:pt>
                <c:pt idx="5">
                  <c:v>-75.621621996195273</c:v>
                </c:pt>
                <c:pt idx="6">
                  <c:v>-89.046431406598018</c:v>
                </c:pt>
                <c:pt idx="7">
                  <c:v>-86.873066460840107</c:v>
                </c:pt>
                <c:pt idx="8">
                  <c:v>-84.78329247453442</c:v>
                </c:pt>
                <c:pt idx="9">
                  <c:v>-82.773894410778979</c:v>
                </c:pt>
                <c:pt idx="10">
                  <c:v>-80.841780887937205</c:v>
                </c:pt>
                <c:pt idx="11">
                  <c:v>-78.983979423666241</c:v>
                </c:pt>
                <c:pt idx="12">
                  <c:v>-77.197631861867265</c:v>
                </c:pt>
                <c:pt idx="13">
                  <c:v>-75.479989975522074</c:v>
                </c:pt>
                <c:pt idx="14">
                  <c:v>-73.828411238651682</c:v>
                </c:pt>
                <c:pt idx="15">
                  <c:v>-72.240354760891762</c:v>
                </c:pt>
                <c:pt idx="16">
                  <c:v>-70.713377378430224</c:v>
                </c:pt>
                <c:pt idx="17">
                  <c:v>-69.245129895294184</c:v>
                </c:pt>
                <c:pt idx="18">
                  <c:v>-67.833353469201796</c:v>
                </c:pt>
                <c:pt idx="19">
                  <c:v>-66.475876136420638</c:v>
                </c:pt>
                <c:pt idx="20">
                  <c:v>-65.170609470284973</c:v>
                </c:pt>
                <c:pt idx="21">
                  <c:v>-63.915545368231427</c:v>
                </c:pt>
                <c:pt idx="22">
                  <c:v>-62.70875296241072</c:v>
                </c:pt>
                <c:pt idx="23">
                  <c:v>-61.54837564912156</c:v>
                </c:pt>
                <c:pt idx="24">
                  <c:v>-60.432628232497358</c:v>
                </c:pt>
                <c:pt idx="25">
                  <c:v>-59.359794178051011</c:v>
                </c:pt>
                <c:pt idx="26">
                  <c:v>-58.328222971852611</c:v>
                </c:pt>
                <c:pt idx="27">
                  <c:v>-57.336327581277217</c:v>
                </c:pt>
                <c:pt idx="28">
                  <c:v>-56.382582013416268</c:v>
                </c:pt>
                <c:pt idx="29">
                  <c:v>-55.465518967396143</c:v>
                </c:pt>
                <c:pt idx="30">
                  <c:v>-54.583727576992139</c:v>
                </c:pt>
                <c:pt idx="31">
                  <c:v>-53.735851240065251</c:v>
                </c:pt>
                <c:pt idx="32">
                  <c:v>-52.920585531481677</c:v>
                </c:pt>
                <c:pt idx="33">
                  <c:v>-52.136676196305181</c:v>
                </c:pt>
                <c:pt idx="34">
                  <c:v>-51.382917220173923</c:v>
                </c:pt>
                <c:pt idx="35">
                  <c:v>-50.658148973893873</c:v>
                </c:pt>
                <c:pt idx="36">
                  <c:v>-49.954490482359837</c:v>
                </c:pt>
                <c:pt idx="37">
                  <c:v>-49.271326898346217</c:v>
                </c:pt>
                <c:pt idx="38">
                  <c:v>-48.608061282799021</c:v>
                </c:pt>
                <c:pt idx="39">
                  <c:v>-47.96411408323862</c:v>
                </c:pt>
                <c:pt idx="40">
                  <c:v>-47.338922627354748</c:v>
                </c:pt>
                <c:pt idx="41">
                  <c:v>-46.73194063135098</c:v>
                </c:pt>
                <c:pt idx="42">
                  <c:v>-46.142637722609457</c:v>
                </c:pt>
                <c:pt idx="43">
                  <c:v>-45.570498976258477</c:v>
                </c:pt>
                <c:pt idx="44">
                  <c:v>-45.015024465238078</c:v>
                </c:pt>
                <c:pt idx="45">
                  <c:v>-44.47572882347076</c:v>
                </c:pt>
                <c:pt idx="46">
                  <c:v>-43.952140821754867</c:v>
                </c:pt>
              </c:numCache>
            </c:numRef>
          </c:val>
          <c:smooth val="0"/>
        </c:ser>
        <c:dLbls>
          <c:showLegendKey val="0"/>
          <c:showVal val="0"/>
          <c:showCatName val="0"/>
          <c:showSerName val="0"/>
          <c:showPercent val="0"/>
          <c:showBubbleSize val="0"/>
        </c:dLbls>
        <c:marker val="1"/>
        <c:smooth val="0"/>
        <c:axId val="108131840"/>
        <c:axId val="108133376"/>
      </c:lineChart>
      <c:catAx>
        <c:axId val="1081318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33376"/>
        <c:crosses val="autoZero"/>
        <c:auto val="1"/>
        <c:lblAlgn val="ctr"/>
        <c:lblOffset val="100"/>
        <c:noMultiLvlLbl val="0"/>
      </c:catAx>
      <c:valAx>
        <c:axId val="108133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Mio. kr. nutidsværdi</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3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Bec64</b:Tag>
    <b:SourceType>Book</b:SourceType>
    <b:Guid>{4DA97D4F-ECCB-4AB5-AA80-C369EBD1D367}</b:Guid>
    <b:Title>Human Capital: A Theoretical and Emperical Analysis, with Special Reference to Education</b:Title>
    <b:Year>1964</b:Year>
    <b:Publisher>Columbia University Press</b:Publisher>
    <b:City>New York</b:City>
    <b:Author>
      <b:Author>
        <b:NameList>
          <b:Person>
            <b:Last>Becker</b:Last>
            <b:First>Garry</b:First>
          </b:Person>
        </b:NameList>
      </b:Author>
    </b:Author>
    <b:RefOrder>2</b:RefOrder>
  </b:Source>
  <b:Source>
    <b:Tag>Min74</b:Tag>
    <b:SourceType>Book</b:SourceType>
    <b:Guid>{F8492CFB-245D-483B-8ABC-0653BBEDA4AA}</b:Guid>
    <b:Title>Schooling, Experience and Earnings</b:Title>
    <b:Year>1974</b:Year>
    <b:City>New York</b:City>
    <b:Publisher>Columbia Univeristy Press</b:Publisher>
    <b:Author>
      <b:Author>
        <b:NameList>
          <b:Person>
            <b:Last>Mincer</b:Last>
            <b:First>Jacob</b:First>
          </b:Person>
        </b:NameList>
      </b:Author>
    </b:Author>
    <b:RefOrder>3</b:RefOrder>
  </b:Source>
  <b:Source>
    <b:Tag>Sia03</b:Tag>
    <b:SourceType>ArticleInAPeriodical</b:SourceType>
    <b:Guid>{790607B5-0DD8-467D-92DF-9A96155D21B5}</b:Guid>
    <b:Title>The Returns to Education: Macroeconomics</b:Title>
    <b:Year>2003</b:Year>
    <b:PeriodicalTitle>Journal og Economic Surveys</b:PeriodicalTitle>
    <b:Month>March</b:Month>
    <b:Day>26</b:Day>
    <b:Pages>157-200</b:Pages>
    <b:Author>
      <b:Author>
        <b:NameList>
          <b:Person>
            <b:Last>Sianesi</b:Last>
            <b:First>Barbara</b:First>
          </b:Person>
          <b:Person>
            <b:Last>Reenen</b:Last>
            <b:Middle>Van</b:Middle>
            <b:First>John</b:First>
          </b:Person>
        </b:NameList>
      </b:Author>
    </b:Author>
    <b:RefOrder>4</b:RefOrder>
  </b:Source>
  <b:Source>
    <b:Tag>Bas01</b:Tag>
    <b:SourceType>Report</b:SourceType>
    <b:Guid>{2EAA3F59-FB8F-4E94-A869-8F5DBF398CCA}</b:Guid>
    <b:Title>The Driving Forces of Economic Growth: Panel data evidence for the OECD Countries</b:Title>
    <b:Year>2001</b:Year>
    <b:Publisher>OECD Economics Studies</b:Publisher>
    <b:Author>
      <b:Author>
        <b:NameList>
          <b:Person>
            <b:Last>Bassanini</b:Last>
            <b:First>Andrea</b:First>
          </b:Person>
          <b:Person>
            <b:Last>Scarpetta</b:Last>
            <b:First>Stefano</b:First>
          </b:Person>
        </b:NameList>
      </b:Author>
    </b:Author>
    <b:RefOrder>5</b:RefOrder>
  </b:Source>
  <b:Source>
    <b:Tag>Han10</b:Tag>
    <b:SourceType>ArticleInAPeriodical</b:SourceType>
    <b:Guid>{238BBE9D-A023-482E-B471-CB852C3A005B}</b:Guid>
    <b:Title>Education and Economic Growth</b:Title>
    <b:Year>2010</b:Year>
    <b:Pages>245-252</b:Pages>
    <b:PeriodicalTitle>International Encyclopedia of Education</b:PeriodicalTitle>
    <b:Author>
      <b:Author>
        <b:NameList>
          <b:Person>
            <b:Last>Hanushek</b:Last>
            <b:First>E A</b:First>
          </b:Person>
          <b:Person>
            <b:Last>Wössmann</b:Last>
            <b:First>L</b:First>
          </b:Person>
        </b:NameList>
      </b:Author>
    </b:Author>
    <b:RefOrder>6</b:RefOrder>
  </b:Source>
  <b:Source>
    <b:Tag>Veg15</b:Tag>
    <b:SourceType>ArticleInAPeriodical</b:SourceType>
    <b:Guid>{1FA8CE5C-013B-42DC-A7D1-B56D0C0A16B7}</b:Guid>
    <b:Author>
      <b:Author>
        <b:NameList>
          <b:Person>
            <b:Last>Vegas</b:Last>
            <b:First>Emiliane</b:First>
          </b:Person>
          <b:Person>
            <b:Last>Coffin</b:Last>
            <b:First>Chelsea</b:First>
          </b:Person>
        </b:NameList>
      </b:Author>
    </b:Author>
    <b:Title>When Education Expenditure Matters: An Emperical Analysis of Recent International Data</b:Title>
    <b:PeriodicalTitle>Comparative Education Review</b:PeriodicalTitle>
    <b:Year>2015</b:Year>
    <b:Pages>289-304</b:Pages>
    <b:RefOrder>7</b:RefOrder>
  </b:Source>
  <b:Source>
    <b:Tag>Han07</b:Tag>
    <b:SourceType>ArticleInAPeriodical</b:SourceType>
    <b:Guid>{91CA04B6-054D-4248-8DD5-E27404729710}</b:Guid>
    <b:Title>The Role of Education Quality in Economic Growth</b:Title>
    <b:PeriodicalTitle>World Bank Policy Research Working Paper </b:PeriodicalTitle>
    <b:Year>2007</b:Year>
    <b:Month>Februar</b:Month>
    <b:Pages>1-94</b:Pages>
    <b:Author>
      <b:Author>
        <b:NameList>
          <b:Person>
            <b:Last>Hanushek</b:Last>
            <b:First>E A.</b:First>
          </b:Person>
          <b:Person>
            <b:Last>Wössmann</b:Last>
            <b:First>L</b:First>
          </b:Person>
        </b:NameList>
      </b:Author>
    </b:Author>
    <b:RefOrder>8</b:RefOrder>
  </b:Source>
  <b:Source>
    <b:Tag>Sch14</b:Tag>
    <b:SourceType>Report</b:SourceType>
    <b:Guid>{1D3D0DC9-F87E-45ED-AFEF-F8C3266B5110}</b:Guid>
    <b:Title>Does Class Size Matter?</b:Title>
    <b:Year>2014</b:Year>
    <b:Publisher>National Education Policy Senter</b:Publisher>
    <b:City>Boulder</b:City>
    <b:Author>
      <b:Author>
        <b:NameList>
          <b:Person>
            <b:Last>Schanzenbach</b:Last>
            <b:First>Diane</b:First>
          </b:Person>
        </b:NameList>
      </b:Author>
    </b:Author>
    <b:RefOrder>9</b:RefOrder>
  </b:Source>
  <b:Source>
    <b:Tag>Dan</b:Tag>
    <b:SourceType>Book</b:SourceType>
    <b:Guid>{7ACD5848-9900-4F91-9E45-4BD3827B00BA}</b:Guid>
    <b:Author>
      <b:Author>
        <b:Corporate>Danmarks Statistik</b:Corporate>
      </b:Author>
    </b:Author>
    <b:Title>ADAM - en model af dansk økonomi</b:Title>
    <b:Year>2012</b:Year>
    <b:City>København</b:City>
    <b:Publisher>Danmarks Statistik</b:Publisher>
    <b:Edition>1.</b:Edition>
    <b:RefOrder>32</b:RefOrder>
  </b:Source>
  <b:Source>
    <b:Tag>Soc16</b:Tag>
    <b:SourceType>ElectronicSource</b:SourceType>
    <b:Guid>{EB563CD6-C8D0-4EDC-9639-673A899EEB20}</b:Guid>
    <b:Author>
      <b:Author>
        <b:Corporate>Socialstyrelsen</b:Corporate>
      </b:Author>
    </b:Author>
    <b:Title>Økonomiske analyser af sociale indsatser</b:Title>
    <b:City>Odense</b:City>
    <b:Publisher>Socialstyrelsen</b:Publisher>
    <b:Year>2016</b:Year>
    <b:RefOrder>33</b:RefOrder>
  </b:Source>
  <b:Source>
    <b:Tag>Bes01</b:Tag>
    <b:SourceType>ArticleInAPeriodical</b:SourceType>
    <b:Guid>{18CD8B91-AEFD-4447-99E2-740C4DE4B449}</b:Guid>
    <b:Title>From Micro to Macro: Public Policies and Aggregate Economic Performance</b:Title>
    <b:PeriodicalTitle>Fiscal Studies</b:PeriodicalTitle>
    <b:Year>2001</b:Year>
    <b:Pages>357-374</b:Pages>
    <b:Author>
      <b:Author>
        <b:NameList>
          <b:Person>
            <b:Last>Besley</b:Last>
            <b:First>Timothy</b:First>
          </b:Person>
        </b:NameList>
      </b:Author>
    </b:Author>
    <b:RefOrder>34</b:RefOrder>
  </b:Source>
  <b:Source>
    <b:Tag>AE17</b:Tag>
    <b:SourceType>Report</b:SourceType>
    <b:Guid>{BC41704C-69D0-4399-A707-75ECE912689D}</b:Guid>
    <b:Author>
      <b:Author>
        <b:Corporate>AE</b:Corporate>
      </b:Author>
    </b:Author>
    <b:Title>Færre læreruddannede i folkeskolen</b:Title>
    <b:Year>2017</b:Year>
    <b:Publisher>AE</b:Publisher>
    <b:City>København</b:City>
    <b:RefOrder>18</b:RefOrder>
  </b:Source>
  <b:Source>
    <b:Tag>Bar13</b:Tag>
    <b:SourceType>Report</b:SourceType>
    <b:Guid>{7E8831F6-F64D-4E15-AEC1-6EA4FF2F0692}</b:Guid>
    <b:Title>New Econometric Estimates of Long-term Growth Effects of Different Areas of Public Spending</b:Title>
    <b:Year>2013</b:Year>
    <b:Publisher>OECD</b:Publisher>
    <b:Author>
      <b:Author>
        <b:NameList>
          <b:Person>
            <b:Last>Barbiero</b:Last>
            <b:First>Omar</b:First>
          </b:Person>
          <b:Person>
            <b:Last>Cournède</b:Last>
            <b:First>Boris</b:First>
          </b:Person>
        </b:NameList>
      </b:Author>
    </b:Author>
    <b:RefOrder>35</b:RefOrder>
  </b:Source>
  <b:Source>
    <b:Tag>Aco13</b:Tag>
    <b:SourceType>Report</b:SourceType>
    <b:Guid>{90755335-298B-47F6-80EB-BA8E5BE16C8B}</b:Guid>
    <b:Title>Can a Government Enhance Long-Run Growth by Changing the Composition of Public Expenditure?</b:Title>
    <b:Year>2013</b:Year>
    <b:Publisher>IMF</b:Publisher>
    <b:Author>
      <b:Author>
        <b:NameList>
          <b:Person>
            <b:Last>Acosta-Ormaechea</b:Last>
            <b:First>Santiago</b:First>
          </b:Person>
          <b:Person>
            <b:Last>Morozumi</b:Last>
            <b:First>Assuyoshi</b:First>
          </b:Person>
        </b:NameList>
      </b:Author>
    </b:Author>
    <b:RefOrder>36</b:RefOrder>
  </b:Source>
  <b:Source>
    <b:Tag>Fou</b:Tag>
    <b:SourceType>ArticleInAPeriodical</b:SourceType>
    <b:Guid>{F1C9BA15-7681-4962-9AA4-8B87F0990673}</b:Guid>
    <b:Title>The Effect of the Size and the Mix of Public Spending on Growth and Inequality</b:Title>
    <b:Author>
      <b:Author>
        <b:NameList>
          <b:Person>
            <b:Last>Fournier</b:Last>
            <b:First>Jean-Marc</b:First>
          </b:Person>
          <b:Person>
            <b:Last>Johansson</b:Last>
            <b:First>Åsa</b:First>
          </b:Person>
        </b:NameList>
      </b:Author>
    </b:Author>
    <b:PeriodicalTitle>OECD Economics Department Working Papers</b:PeriodicalTitle>
    <b:Year>2016</b:Year>
    <b:Month>November</b:Month>
    <b:Day>25</b:Day>
    <b:Pages>1-55</b:Pages>
    <b:RefOrder>37</b:RefOrder>
  </b:Source>
  <b:Source>
    <b:Tag>Fou16</b:Tag>
    <b:SourceType>ArticleInAPeriodical</b:SourceType>
    <b:Guid>{ACB12C26-A660-443F-BE8A-A24583A6B9B7}</b:Guid>
    <b:Title>The Positive Effect of Public Investement on Potential Growth</b:Title>
    <b:PeriodicalTitle>OECD Economic Department Working Papers</b:PeriodicalTitle>
    <b:Year>2016</b:Year>
    <b:Month>November</b:Month>
    <b:Pages>1-24</b:Pages>
    <b:Author>
      <b:Author>
        <b:NameList>
          <b:Person>
            <b:Last>Fournier</b:Last>
            <b:First>Jean-Marc</b:First>
          </b:Person>
        </b:NameList>
      </b:Author>
    </b:Author>
    <b:RefOrder>28</b:RefOrder>
  </b:Source>
  <b:Source>
    <b:Tag>Bar90</b:Tag>
    <b:SourceType>ArticleInAPeriodical</b:SourceType>
    <b:Guid>{3A30B1DF-DB5D-48C7-B565-386F543F903D}</b:Guid>
    <b:Title>Government Spending in a Simple Model of Endogeneous Growth</b:Title>
    <b:PeriodicalTitle>The Journal of Political Economy</b:PeriodicalTitle>
    <b:Year>1990</b:Year>
    <b:Month>October</b:Month>
    <b:Pages>103-125</b:Pages>
    <b:Author>
      <b:Author>
        <b:NameList>
          <b:Person>
            <b:Last>Barro</b:Last>
            <b:Middle>J.</b:Middle>
            <b:First>Robert</b:First>
          </b:Person>
        </b:NameList>
      </b:Author>
    </b:Author>
    <b:RefOrder>27</b:RefOrder>
  </b:Source>
  <b:Source>
    <b:Tag>DeØ17</b:Tag>
    <b:SourceType>Report</b:SourceType>
    <b:Guid>{AFAD67EB-D680-4365-B129-EC8F54AF7968}</b:Guid>
    <b:Author>
      <b:Author>
        <b:Corporate>De Økonomiske Råd</b:Corporate>
      </b:Author>
    </b:Author>
    <b:Title>Diskussionsoplæg, forårsrapport 2017</b:Title>
    <b:Year>2017</b:Year>
    <b:Publisher>De Økonomiske Råd, Formandsskabet</b:Publisher>
    <b:City>København</b:City>
    <b:RefOrder>1</b:RefOrder>
  </b:Source>
  <b:Source>
    <b:Tag>Ram13</b:Tag>
    <b:SourceType>Report</b:SourceType>
    <b:Guid>{FF0C2446-B2F2-479F-A2F2-8B25F517D5B8}</b:Guid>
    <b:Author>
      <b:Author>
        <b:Corporate>Rambøll og SFI</b:Corporate>
      </b:Author>
    </b:Author>
    <b:Title>Samfundsøkonomisk analyse af metoder - Hjemløsestrategien</b:Title>
    <b:Year>2013</b:Year>
    <b:Publisher>Rambøll og SFI</b:Publisher>
    <b:City>København</b:City>
    <b:RefOrder>29</b:RefOrder>
  </b:Source>
  <b:Source>
    <b:Tag>Ram12</b:Tag>
    <b:SourceType>Report</b:SourceType>
    <b:Guid>{D15B5B61-8609-4E64-B431-239241660517}</b:Guid>
    <b:Author>
      <b:Author>
        <b:Corporate>Rambøll</b:Corporate>
      </b:Author>
    </b:Author>
    <b:Title>Afrapportering - Analyse af de økonomiske konsekvenser på området for udsatte børn og unge</b:Title>
    <b:Year>2012</b:Year>
    <b:Publisher>Rambøll</b:Publisher>
    <b:City>København</b:City>
    <b:RefOrder>30</b:RefOrder>
  </b:Source>
  <b:Source>
    <b:Tag>KOR16</b:Tag>
    <b:SourceType>Report</b:SourceType>
    <b:Guid>{AA616E02-C3E0-4581-8CBE-35D89CB7C343}</b:Guid>
    <b:Author>
      <b:Author>
        <b:Corporate>KORA og Incentives</b:Corporate>
      </b:Author>
    </b:Author>
    <b:Title>Den Socialøkonomiske investeringsmodel (SØM) - teknisk indhold</b:Title>
    <b:Year>2016</b:Year>
    <b:Publisher>Det Nationale Institut for Kommuners og Regioners Analyse og Forskning</b:Publisher>
    <b:City>København</b:City>
    <b:RefOrder>31</b:RefOrder>
  </b:Source>
  <b:Source>
    <b:Tag>Kru03</b:Tag>
    <b:SourceType>ArticleInAPeriodical</b:SourceType>
    <b:Guid>{58B3A3AB-AD73-4A7D-B6B0-1961C9C15BA4}</b:Guid>
    <b:Title>Economic Considerations and Class size</b:Title>
    <b:Year>2003</b:Year>
    <b:Publisher>The Economic Journal</b:Publisher>
    <b:City>Osford</b:City>
    <b:Author>
      <b:Author>
        <b:NameList>
          <b:Person>
            <b:Last>Krueger</b:Last>
            <b:First>Alan B.</b:First>
          </b:Person>
        </b:NameList>
      </b:Author>
    </b:Author>
    <b:PeriodicalTitle>The Economic Journal</b:PeriodicalTitle>
    <b:Pages>34-63</b:Pages>
    <b:RefOrder>10</b:RefOrder>
  </b:Source>
  <b:Source>
    <b:Tag>AE10</b:Tag>
    <b:SourceType>Book</b:SourceType>
    <b:Guid>{520FAE49-179E-4044-8F91-4F66A5775743}</b:Guid>
    <b:Author>
      <b:Author>
        <b:Corporate>AE</b:Corporate>
      </b:Author>
    </b:Author>
    <b:Title>Fra ufaglært til faglært giver bonus i baglommen</b:Title>
    <b:Year>2010</b:Year>
    <b:City>København</b:City>
    <b:Publisher>Arbejdernes Erhvervsråd</b:Publisher>
    <b:RefOrder>38</b:RefOrder>
  </b:Source>
  <b:Source>
    <b:Tag>Fos13</b:Tag>
    <b:SourceType>Report</b:SourceType>
    <b:Guid>{11DE925F-E8FC-4A45-B473-20D93A03BA92}</b:Guid>
    <b:Title>Produktivitetseffekter af uddannelse og generelt uddannelsesløft i den private sektor</b:Title>
    <b:Year>2013</b:Year>
    <b:Publisher>Centre for Economic and Business Research (CEBR)</b:Publisher>
    <b:City>København</b:City>
    <b:Author>
      <b:Author>
        <b:NameList>
          <b:Person>
            <b:Last>Fosse</b:Last>
            <b:First>Henrik Barslund</b:First>
          </b:Person>
          <b:Person>
            <b:Last>Jacobsen</b:Last>
            <b:First>Rasmus Højbjerg </b:First>
          </b:Person>
          <b:Person>
            <b:Last>Lykkebo</b:Last>
            <b:First>Ole Bech</b:First>
          </b:Person>
          <b:Person>
            <b:Last>Brandt</b:Last>
            <b:Middle>Skou</b:Middle>
            <b:First>Kathrine Marie</b:First>
          </b:Person>
        </b:NameList>
      </b:Author>
    </b:Author>
    <b:RefOrder>12</b:RefOrder>
  </b:Source>
  <b:Source>
    <b:Tag>Fin14</b:Tag>
    <b:SourceType>Report</b:SourceType>
    <b:Guid>{32EACA51-EC5D-470A-AD7E-41E067796D04}</b:Guid>
    <b:Title>Finansredegørelse 2014</b:Title>
    <b:Year>2014</b:Year>
    <b:Author>
      <b:Author>
        <b:Corporate>Finansministeriet</b:Corporate>
      </b:Author>
    </b:Author>
    <b:Publisher>Finansministeriet</b:Publisher>
    <b:City>København</b:City>
    <b:RefOrder>14</b:RefOrder>
  </b:Source>
  <b:Source>
    <b:Tag>Und17</b:Tag>
    <b:SourceType>Report</b:SourceType>
    <b:Guid>{26B73929-C840-49CA-85EF-6C1F184C7385}</b:Guid>
    <b:Title>Profilmodellen 2016</b:Title>
    <b:Year>2017</b:Year>
    <b:Author>
      <b:Author>
        <b:NameList>
          <b:Person>
            <b:Last>Undervisningsministeriet</b:Last>
          </b:Person>
        </b:NameList>
      </b:Author>
    </b:Author>
    <b:Publisher>Undervisningsministeriet</b:Publisher>
    <b:City>København</b:City>
    <b:RefOrder>15</b:RefOrder>
  </b:Source>
  <b:Source>
    <b:Tag>Sty16</b:Tag>
    <b:SourceType>InternetSite</b:SourceType>
    <b:Guid>{74F13B74-EE23-4AC5-AE47-4317FCCC7938}</b:Guid>
    <b:Author>
      <b:Author>
        <b:Corporate>Styrelsen for Institutioner og Uddannelsesstøtte</b:Corporate>
      </b:Author>
    </b:Author>
    <b:Title>su.dk</b:Title>
    <b:Year>2016</b:Year>
    <b:YearAccessed>2017</b:YearAccessed>
    <b:MonthAccessed>December</b:MonthAccessed>
    <b:DayAccessed>29</b:DayAccessed>
    <b:URL>http://www.su.dk/su/om-su-til-videregaaende-uddannelser-universitet-journalist-laerer-mv/satser-for-su-til-udeboende-paa-videregaaende-uddannelser/</b:URL>
    <b:RefOrder>19</b:RefOrder>
  </b:Source>
  <b:Source>
    <b:Tag>Udd16</b:Tag>
    <b:SourceType>InternetSite</b:SourceType>
    <b:Guid>{0D84C9FB-02C2-4FFF-97FA-0BC6765013F7}</b:Guid>
    <b:Author>
      <b:Author>
        <b:Corporate>Uddannelses- og Forskningsministeriet</b:Corporate>
      </b:Author>
    </b:Author>
    <b:Title>ft.dk</b:Title>
    <b:Year>2016</b:Year>
    <b:YearAccessed>2017</b:YearAccessed>
    <b:MonthAccessed>december</b:MonthAccessed>
    <b:DayAccessed>29</b:DayAccessed>
    <b:URL>http://www.ft.dk/samling/20151/almdel/ufu/spm/229/svar/1339485/1659050.pdf</b:URL>
    <b:RefOrder>20</b:RefOrder>
  </b:Source>
  <b:Source>
    <b:Tag>Ska13</b:Tag>
    <b:SourceType>Report</b:SourceType>
    <b:Guid>{48B4AA44-1F26-48D1-8384-E2D3EC1D2FFF}</b:Guid>
    <b:Title>Provenu og metode</b:Title>
    <b:Year>2013</b:Year>
    <b:Author>
      <b:Author>
        <b:Corporate>Skatteministeriet</b:Corporate>
      </b:Author>
    </b:Author>
    <b:Publisher>Skatteministeriet</b:Publisher>
    <b:City>København</b:City>
    <b:RefOrder>23</b:RefOrder>
  </b:Source>
  <b:Source>
    <b:Tag>Udd13</b:Tag>
    <b:SourceType>InternetSite</b:SourceType>
    <b:Guid>{6831DA4F-746B-4B84-8751-6AB9822A6070}</b:Guid>
    <b:Author>
      <b:Author>
        <b:Corporate>Uddannelses- og Forskningsministeriet</b:Corporate>
      </b:Author>
    </b:Author>
    <b:Title>ufm.dk</b:Title>
    <b:Year>2013</b:Year>
    <b:YearAccessed>2017</b:YearAccessed>
    <b:MonthAccessed>december</b:MonthAccessed>
    <b:DayAccessed>30</b:DayAccessed>
    <b:URL>https://ufm.dk/aktuelt/pressemeddelelser/arkiv/2009/ugens-tal-dtu-har-landets-yngste-kandidater/studerendes-alder-som-faerdige-kandidater  </b:URL>
    <b:RefOrder>25</b:RefOrder>
  </b:Source>
  <b:Source>
    <b:Tag>Jun10</b:Tag>
    <b:SourceType>Report</b:SourceType>
    <b:Guid>{AC934D50-D55B-474E-897D-E9CC29C6764F}</b:Guid>
    <b:Title>Produktivitet og videregående uddannelse</b:Title>
    <b:Year>2010</b:Year>
    <b:Publisher>CEBR - Centre For Economic and Business Research</b:Publisher>
    <b:City>Frederiksberg</b:City>
    <b:Author>
      <b:Author>
        <b:NameList>
          <b:Person>
            <b:Last>Junge</b:Last>
            <b:First>Martin</b:First>
          </b:Person>
          <b:Person>
            <b:Last>Skaksen</b:Last>
            <b:First>Jan Rose</b:First>
          </b:Person>
        </b:NameList>
      </b:Author>
    </b:Author>
    <b:RefOrder>11</b:RefOrder>
  </b:Source>
  <b:Source>
    <b:Tag>Dan172</b:Tag>
    <b:SourceType>InternetSite</b:SourceType>
    <b:Guid>{7D15850B-E913-4647-8E1A-83643D0B5B2D}</b:Guid>
    <b:Title>Statistikbanken</b:Title>
    <b:Year>2017</b:Year>
    <b:Author>
      <b:Author>
        <b:Corporate>Danmarks Statistik I</b:Corporate>
      </b:Author>
    </b:Author>
    <b:YearAccessed>2017</b:YearAccessed>
    <b:MonthAccessed>December</b:MonthAccessed>
    <b:DayAccessed>28</b:DayAccessed>
    <b:URL>Tabel:HFUDD10</b:URL>
    <b:RefOrder>16</b:RefOrder>
  </b:Source>
  <b:Source>
    <b:Tag>Dan173</b:Tag>
    <b:SourceType>InternetSite</b:SourceType>
    <b:Guid>{8D4B6D13-B796-41C8-A93C-1F73815531F0}</b:Guid>
    <b:Title>statistikbanken.dk</b:Title>
    <b:Year>2017</b:Year>
    <b:Author>
      <b:Author>
        <b:Corporate>Danmarks Statistik II</b:Corporate>
      </b:Author>
    </b:Author>
    <b:YearAccessed>2017</b:YearAccessed>
    <b:MonthAccessed>december</b:MonthAccessed>
    <b:DayAccessed>30</b:DayAccessed>
    <b:URL>Tabel: INDKP111</b:URL>
    <b:RefOrder>21</b:RefOrder>
  </b:Source>
  <b:Source>
    <b:Tag>Dan174</b:Tag>
    <b:SourceType>InternetSite</b:SourceType>
    <b:Guid>{CBF83C6E-AD29-4FB6-BCA7-E7E2872C2EC0}</b:Guid>
    <b:Author>
      <b:Author>
        <b:Corporate>Danmarks Statistik III</b:Corporate>
      </b:Author>
    </b:Author>
    <b:Title>Statistikbanken</b:Title>
    <b:Year>2017</b:Year>
    <b:YearAccessed>2017</b:YearAccessed>
    <b:MonthAccessed>december</b:MonthAccessed>
    <b:DayAccessed>30</b:DayAccessed>
    <b:URL>Tabel:NRHP</b:URL>
    <b:RefOrder>24</b:RefOrder>
  </b:Source>
  <b:Source>
    <b:Tag>Dan175</b:Tag>
    <b:SourceType>InternetSite</b:SourceType>
    <b:Guid>{9810965D-0273-465D-96FC-8805EFC44AFD}</b:Guid>
    <b:Author>
      <b:Author>
        <b:Corporate>Danmarks Statistik IV</b:Corporate>
      </b:Author>
    </b:Author>
    <b:Title>statistikbanken.dk</b:Title>
    <b:Year>2017</b:Year>
    <b:YearAccessed>2017</b:YearAccessed>
    <b:MonthAccessed>december</b:MonthAccessed>
    <b:DayAccessed>30</b:DayAccessed>
    <b:URL>Tabel:OFF10</b:URL>
    <b:RefOrder>26</b:RefOrder>
  </b:Source>
  <b:Source>
    <b:Tag>Ska16</b:Tag>
    <b:SourceType>InternetSite</b:SourceType>
    <b:Guid>{AF5B879C-BC5E-4B58-9738-224E24AA109F}</b:Guid>
    <b:Title>skm.dk</b:Title>
    <b:Year>2016</b:Year>
    <b:Author>
      <b:Author>
        <b:Corporate>Skatteministeriet</b:Corporate>
      </b:Author>
    </b:Author>
    <b:YearAccessed>2017</b:YearAccessed>
    <b:MonthAccessed>februar</b:MonthAccessed>
    <b:DayAccessed>5</b:DayAccessed>
    <b:URL>http://www.skm.dk/skattetal/statistik/indkomstfordeling/gennemsnitsskatten-for-samtlige-skattepligtige-i-2016</b:URL>
    <b:RefOrder>22</b:RefOrder>
  </b:Source>
  <b:Source>
    <b:Tag>Dan17</b:Tag>
    <b:SourceType>Report</b:SourceType>
    <b:Guid>{42082425-DED4-4DBD-A36D-464E890CA224}</b:Guid>
    <b:Title>15 procent færre lærere i folkeskolen</b:Title>
    <b:Year>2017</b:Year>
    <b:Author>
      <b:Author>
        <b:Corporate>Danmarks Lærerforening</b:Corporate>
      </b:Author>
    </b:Author>
    <b:Publisher>Danmarks Lærerforening</b:Publisher>
    <b:City>København</b:City>
    <b:RefOrder>17</b:RefOrder>
  </b:Source>
  <b:Source>
    <b:Tag>And18</b:Tag>
    <b:SourceType>Report</b:SourceType>
    <b:Guid>{36DAE529-DE6D-4794-A9FF-0119CB453BA9}</b:Guid>
    <b:Title>Afkast af uddannelse</b:Title>
    <b:Year>2018</b:Year>
    <b:Publisher>ROCKWOOL FONDENS FORSKNINGSENHED OG SYDDANSK UNIVERSITETSFORLAG</b:Publisher>
    <b:City>Odense</b:City>
    <b:Author>
      <b:Author>
        <b:NameList>
          <b:Person>
            <b:Last>Andersen</b:Last>
            <b:First>Torben M</b:First>
          </b:Person>
          <b:Person>
            <b:Last>Bentsen</b:Last>
            <b:First>Kristian Hedeager</b:First>
          </b:Person>
          <b:Person>
            <b:Last>Kroman</b:Last>
            <b:First>Lene</b:First>
          </b:Person>
          <b:Person>
            <b:Last>Munch</b:Last>
            <b:First>Jacob Roland</b:First>
          </b:Person>
          <b:Person>
            <b:Last>Schaur</b:Last>
            <b:First>Georg</b:First>
          </b:Person>
          <b:Person>
            <b:Last>Sørensen</b:Last>
            <b:First>Anders</b:First>
          </b:Person>
          <b:Person>
            <b:Last>Walldorf</b:Last>
            <b:First>Jeanette</b:First>
          </b:Person>
        </b:NameList>
      </b:Author>
    </b:Author>
    <b:RefOrder>13</b:RefOrder>
  </b:Source>
</b:Sources>
</file>

<file path=customXml/itemProps1.xml><?xml version="1.0" encoding="utf-8"?>
<ds:datastoreItem xmlns:ds="http://schemas.openxmlformats.org/officeDocument/2006/customXml" ds:itemID="{8226F2BB-2D4E-478D-80BD-C79722DD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tekstskabelon</Template>
  <TotalTime>4</TotalTime>
  <Pages>36</Pages>
  <Words>12516</Words>
  <Characters>71343</Characters>
  <Application>Microsoft Office Word</Application>
  <DocSecurity>0</DocSecurity>
  <Lines>594</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83692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Fuglsang</dc:creator>
  <cp:lastModifiedBy>Niels Fuglsang</cp:lastModifiedBy>
  <cp:revision>3</cp:revision>
  <cp:lastPrinted>2015-06-16T12:16:00Z</cp:lastPrinted>
  <dcterms:created xsi:type="dcterms:W3CDTF">2018-03-06T14:05:00Z</dcterms:created>
  <dcterms:modified xsi:type="dcterms:W3CDTF">2018-03-07T07:45:00Z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8b51d400-07c1-3f0e-acec-ff0f37cbeac6</vt:lpwstr>
  </property>
  <property fmtid="{D5CDD505-2E9C-101B-9397-08002B2CF9AE}" pid="24" name="Mendeley Citation Style_1">
    <vt:lpwstr>http://www.zotero.org/styles/american-political-science-association</vt:lpwstr>
  </property>
</Properties>
</file>